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8624" w:type="dxa"/>
        <w:tblInd w:w="56" w:type="dxa"/>
        <w:tblLayout w:type="autofit"/>
        <w:tblCellMar>
          <w:top w:w="0" w:type="dxa"/>
          <w:left w:w="108" w:type="dxa"/>
          <w:bottom w:w="0" w:type="dxa"/>
          <w:right w:w="108" w:type="dxa"/>
        </w:tblCellMar>
      </w:tblPr>
      <w:tblGrid>
        <w:gridCol w:w="457"/>
        <w:gridCol w:w="1228"/>
        <w:gridCol w:w="6939"/>
      </w:tblGrid>
      <w:tr w14:paraId="5AB5D799">
        <w:tblPrEx>
          <w:tblCellMar>
            <w:top w:w="0" w:type="dxa"/>
            <w:left w:w="108" w:type="dxa"/>
            <w:bottom w:w="0" w:type="dxa"/>
            <w:right w:w="108" w:type="dxa"/>
          </w:tblCellMar>
        </w:tblPrEx>
        <w:trPr>
          <w:trHeight w:val="689" w:hRule="atLeast"/>
        </w:trPr>
        <w:tc>
          <w:tcPr>
            <w:tcW w:w="862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7267DD3">
            <w:pPr>
              <w:widowControl/>
              <w:jc w:val="center"/>
              <w:rPr>
                <w:rFonts w:ascii="方正小标宋_GBK" w:hAnsi="宋体" w:eastAsia="方正小标宋_GBK" w:cs="宋体"/>
                <w:bCs/>
                <w:color w:val="000000"/>
                <w:kern w:val="0"/>
                <w:sz w:val="32"/>
                <w:szCs w:val="32"/>
              </w:rPr>
            </w:pPr>
            <w:r>
              <w:rPr>
                <w:rFonts w:hint="eastAsia" w:ascii="方正小标宋_GBK" w:hAnsi="宋体" w:eastAsia="方正小标宋_GBK" w:cs="宋体"/>
                <w:bCs/>
                <w:color w:val="000000"/>
                <w:kern w:val="0"/>
                <w:sz w:val="32"/>
                <w:szCs w:val="32"/>
              </w:rPr>
              <w:t>南京奥体中心</w:t>
            </w:r>
            <w:r>
              <w:rPr>
                <w:rFonts w:hint="eastAsia" w:ascii="方正小标宋_GBK" w:hAnsi="宋体" w:eastAsia="方正小标宋_GBK" w:cs="宋体"/>
                <w:bCs/>
                <w:color w:val="000000"/>
                <w:kern w:val="0"/>
                <w:sz w:val="32"/>
                <w:szCs w:val="32"/>
                <w:u w:val="single"/>
              </w:rPr>
              <w:t>游泳馆泳装卖品</w:t>
            </w:r>
            <w:r>
              <w:rPr>
                <w:rFonts w:hint="eastAsia" w:ascii="方正小标宋_GBK" w:hAnsi="宋体" w:eastAsia="方正小标宋_GBK" w:cs="宋体"/>
                <w:bCs/>
                <w:color w:val="000000"/>
                <w:kern w:val="0"/>
                <w:sz w:val="32"/>
                <w:szCs w:val="32"/>
              </w:rPr>
              <w:t>项目合作运营方招募公示</w:t>
            </w:r>
          </w:p>
        </w:tc>
      </w:tr>
      <w:tr w14:paraId="305C0BDC">
        <w:tblPrEx>
          <w:tblCellMar>
            <w:top w:w="0" w:type="dxa"/>
            <w:left w:w="108" w:type="dxa"/>
            <w:bottom w:w="0" w:type="dxa"/>
            <w:right w:w="108" w:type="dxa"/>
          </w:tblCellMar>
        </w:tblPrEx>
        <w:trPr>
          <w:trHeight w:val="439" w:hRule="atLeast"/>
        </w:trPr>
        <w:tc>
          <w:tcPr>
            <w:tcW w:w="240" w:type="dxa"/>
            <w:vMerge w:val="restart"/>
            <w:tcBorders>
              <w:top w:val="nil"/>
              <w:left w:val="single" w:color="auto" w:sz="4" w:space="0"/>
              <w:bottom w:val="single" w:color="auto" w:sz="4" w:space="0"/>
              <w:right w:val="single" w:color="auto" w:sz="4" w:space="0"/>
            </w:tcBorders>
            <w:shd w:val="clear" w:color="auto" w:fill="auto"/>
            <w:vAlign w:val="center"/>
          </w:tcPr>
          <w:p w14:paraId="0D1D0185">
            <w:pPr>
              <w:widowControl/>
              <w:spacing w:line="240" w:lineRule="exact"/>
              <w:jc w:val="center"/>
              <w:rPr>
                <w:rFonts w:ascii="方正黑体_GBK" w:hAnsi="宋体" w:eastAsia="方正黑体_GBK" w:cs="宋体"/>
                <w:bCs/>
                <w:color w:val="000000"/>
                <w:kern w:val="0"/>
                <w:sz w:val="24"/>
                <w:szCs w:val="24"/>
              </w:rPr>
            </w:pPr>
            <w:r>
              <w:rPr>
                <w:rFonts w:hint="eastAsia" w:ascii="方正黑体_GBK" w:hAnsi="宋体" w:eastAsia="方正黑体_GBK" w:cs="宋体"/>
                <w:bCs/>
                <w:color w:val="000000"/>
                <w:kern w:val="0"/>
                <w:sz w:val="24"/>
                <w:szCs w:val="24"/>
              </w:rPr>
              <w:t>招募条件</w:t>
            </w:r>
          </w:p>
        </w:tc>
        <w:tc>
          <w:tcPr>
            <w:tcW w:w="1228" w:type="dxa"/>
            <w:tcBorders>
              <w:top w:val="nil"/>
              <w:left w:val="nil"/>
              <w:bottom w:val="single" w:color="auto" w:sz="4" w:space="0"/>
              <w:right w:val="single" w:color="auto" w:sz="4" w:space="0"/>
            </w:tcBorders>
            <w:shd w:val="clear" w:color="auto" w:fill="auto"/>
            <w:vAlign w:val="center"/>
          </w:tcPr>
          <w:p w14:paraId="2CD0053D">
            <w:pPr>
              <w:widowControl/>
              <w:spacing w:line="400" w:lineRule="exact"/>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交易款支付方式</w:t>
            </w:r>
          </w:p>
        </w:tc>
        <w:tc>
          <w:tcPr>
            <w:tcW w:w="7156" w:type="dxa"/>
            <w:tcBorders>
              <w:top w:val="nil"/>
              <w:left w:val="nil"/>
              <w:bottom w:val="single" w:color="auto" w:sz="4" w:space="0"/>
              <w:right w:val="single" w:color="auto" w:sz="4" w:space="0"/>
            </w:tcBorders>
            <w:shd w:val="clear" w:color="auto" w:fill="auto"/>
            <w:vAlign w:val="center"/>
          </w:tcPr>
          <w:p w14:paraId="4365B84C">
            <w:pPr>
              <w:widowControl/>
              <w:spacing w:line="400" w:lineRule="exact"/>
              <w:jc w:val="lef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根据《合作协议》约定支付</w:t>
            </w:r>
          </w:p>
        </w:tc>
      </w:tr>
      <w:tr w14:paraId="0797675B">
        <w:tblPrEx>
          <w:tblCellMar>
            <w:top w:w="0" w:type="dxa"/>
            <w:left w:w="108" w:type="dxa"/>
            <w:bottom w:w="0" w:type="dxa"/>
            <w:right w:w="108" w:type="dxa"/>
          </w:tblCellMar>
        </w:tblPrEx>
        <w:trPr>
          <w:trHeight w:val="381" w:hRule="atLeast"/>
        </w:trPr>
        <w:tc>
          <w:tcPr>
            <w:tcW w:w="240" w:type="dxa"/>
            <w:vMerge w:val="continue"/>
            <w:tcBorders>
              <w:top w:val="nil"/>
              <w:left w:val="single" w:color="auto" w:sz="4" w:space="0"/>
              <w:bottom w:val="single" w:color="auto" w:sz="4" w:space="0"/>
              <w:right w:val="single" w:color="auto" w:sz="4" w:space="0"/>
            </w:tcBorders>
            <w:vAlign w:val="center"/>
          </w:tcPr>
          <w:p w14:paraId="563FBF00">
            <w:pPr>
              <w:widowControl/>
              <w:spacing w:line="240" w:lineRule="exact"/>
              <w:jc w:val="left"/>
              <w:rPr>
                <w:rFonts w:ascii="方正黑体_GBK" w:hAnsi="宋体" w:eastAsia="方正黑体_GBK" w:cs="宋体"/>
                <w:bCs/>
                <w:color w:val="000000"/>
                <w:kern w:val="0"/>
                <w:sz w:val="24"/>
                <w:szCs w:val="24"/>
              </w:rPr>
            </w:pPr>
          </w:p>
        </w:tc>
        <w:tc>
          <w:tcPr>
            <w:tcW w:w="1228" w:type="dxa"/>
            <w:vMerge w:val="restart"/>
            <w:tcBorders>
              <w:top w:val="nil"/>
              <w:left w:val="single" w:color="auto" w:sz="4" w:space="0"/>
              <w:bottom w:val="single" w:color="auto" w:sz="4" w:space="0"/>
              <w:right w:val="single" w:color="auto" w:sz="4" w:space="0"/>
            </w:tcBorders>
            <w:shd w:val="clear" w:color="auto" w:fill="auto"/>
            <w:vAlign w:val="center"/>
          </w:tcPr>
          <w:p w14:paraId="668F5929">
            <w:pPr>
              <w:widowControl/>
              <w:spacing w:line="400" w:lineRule="exact"/>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合作方资格条件</w:t>
            </w:r>
          </w:p>
        </w:tc>
        <w:tc>
          <w:tcPr>
            <w:tcW w:w="7156" w:type="dxa"/>
            <w:tcBorders>
              <w:top w:val="nil"/>
              <w:left w:val="nil"/>
              <w:bottom w:val="single" w:color="auto" w:sz="4" w:space="0"/>
              <w:right w:val="single" w:color="auto" w:sz="4" w:space="0"/>
            </w:tcBorders>
            <w:shd w:val="clear" w:color="auto" w:fill="auto"/>
            <w:vAlign w:val="center"/>
          </w:tcPr>
          <w:p w14:paraId="245C64E5">
            <w:pPr>
              <w:widowControl/>
              <w:spacing w:line="400" w:lineRule="exac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一、具有独立承担民事责任的能力</w:t>
            </w:r>
          </w:p>
        </w:tc>
      </w:tr>
      <w:tr w14:paraId="3D9563A0">
        <w:tblPrEx>
          <w:tblCellMar>
            <w:top w:w="0" w:type="dxa"/>
            <w:left w:w="108" w:type="dxa"/>
            <w:bottom w:w="0" w:type="dxa"/>
            <w:right w:w="108" w:type="dxa"/>
          </w:tblCellMar>
        </w:tblPrEx>
        <w:trPr>
          <w:trHeight w:val="381" w:hRule="atLeast"/>
        </w:trPr>
        <w:tc>
          <w:tcPr>
            <w:tcW w:w="240" w:type="dxa"/>
            <w:vMerge w:val="continue"/>
            <w:tcBorders>
              <w:top w:val="nil"/>
              <w:left w:val="single" w:color="auto" w:sz="4" w:space="0"/>
              <w:bottom w:val="single" w:color="auto" w:sz="4" w:space="0"/>
              <w:right w:val="single" w:color="auto" w:sz="4" w:space="0"/>
            </w:tcBorders>
            <w:vAlign w:val="center"/>
          </w:tcPr>
          <w:p w14:paraId="5664D072">
            <w:pPr>
              <w:widowControl/>
              <w:spacing w:line="240" w:lineRule="exact"/>
              <w:jc w:val="left"/>
              <w:rPr>
                <w:rFonts w:ascii="方正黑体_GBK" w:hAnsi="宋体" w:eastAsia="方正黑体_GBK" w:cs="宋体"/>
                <w:bCs/>
                <w:color w:val="000000"/>
                <w:kern w:val="0"/>
                <w:sz w:val="24"/>
                <w:szCs w:val="24"/>
              </w:rPr>
            </w:pPr>
          </w:p>
        </w:tc>
        <w:tc>
          <w:tcPr>
            <w:tcW w:w="1228" w:type="dxa"/>
            <w:vMerge w:val="continue"/>
            <w:tcBorders>
              <w:top w:val="nil"/>
              <w:left w:val="single" w:color="auto" w:sz="4" w:space="0"/>
              <w:bottom w:val="single" w:color="auto" w:sz="4" w:space="0"/>
              <w:right w:val="single" w:color="auto" w:sz="4" w:space="0"/>
            </w:tcBorders>
            <w:vAlign w:val="center"/>
          </w:tcPr>
          <w:p w14:paraId="749D7CB4">
            <w:pPr>
              <w:widowControl/>
              <w:spacing w:line="400" w:lineRule="exact"/>
              <w:jc w:val="left"/>
              <w:rPr>
                <w:rFonts w:ascii="方正仿宋_GBK" w:hAnsi="宋体" w:eastAsia="方正仿宋_GBK" w:cs="宋体"/>
                <w:color w:val="000000"/>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58C5F6AE">
            <w:pPr>
              <w:widowControl/>
              <w:spacing w:line="400" w:lineRule="exac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二、意向合作方须承诺的事项</w:t>
            </w:r>
          </w:p>
        </w:tc>
      </w:tr>
      <w:tr w14:paraId="169CC058">
        <w:tblPrEx>
          <w:tblCellMar>
            <w:top w:w="0" w:type="dxa"/>
            <w:left w:w="108" w:type="dxa"/>
            <w:bottom w:w="0" w:type="dxa"/>
            <w:right w:w="108" w:type="dxa"/>
          </w:tblCellMar>
        </w:tblPrEx>
        <w:trPr>
          <w:trHeight w:val="381" w:hRule="atLeast"/>
        </w:trPr>
        <w:tc>
          <w:tcPr>
            <w:tcW w:w="240" w:type="dxa"/>
            <w:vMerge w:val="continue"/>
            <w:tcBorders>
              <w:top w:val="nil"/>
              <w:left w:val="single" w:color="auto" w:sz="4" w:space="0"/>
              <w:bottom w:val="single" w:color="auto" w:sz="4" w:space="0"/>
              <w:right w:val="single" w:color="auto" w:sz="4" w:space="0"/>
            </w:tcBorders>
            <w:vAlign w:val="center"/>
          </w:tcPr>
          <w:p w14:paraId="271BD8FA">
            <w:pPr>
              <w:widowControl/>
              <w:spacing w:line="240" w:lineRule="exact"/>
              <w:jc w:val="left"/>
              <w:rPr>
                <w:rFonts w:ascii="方正黑体_GBK" w:hAnsi="宋体" w:eastAsia="方正黑体_GBK" w:cs="宋体"/>
                <w:bCs/>
                <w:color w:val="000000"/>
                <w:kern w:val="0"/>
                <w:sz w:val="24"/>
                <w:szCs w:val="24"/>
              </w:rPr>
            </w:pPr>
          </w:p>
        </w:tc>
        <w:tc>
          <w:tcPr>
            <w:tcW w:w="1228" w:type="dxa"/>
            <w:vMerge w:val="continue"/>
            <w:tcBorders>
              <w:top w:val="nil"/>
              <w:left w:val="single" w:color="auto" w:sz="4" w:space="0"/>
              <w:bottom w:val="single" w:color="auto" w:sz="4" w:space="0"/>
              <w:right w:val="single" w:color="auto" w:sz="4" w:space="0"/>
            </w:tcBorders>
            <w:vAlign w:val="center"/>
          </w:tcPr>
          <w:p w14:paraId="725FBF37">
            <w:pPr>
              <w:widowControl/>
              <w:spacing w:line="400" w:lineRule="exact"/>
              <w:jc w:val="left"/>
              <w:rPr>
                <w:rFonts w:ascii="方正仿宋_GBK" w:hAnsi="宋体" w:eastAsia="方正仿宋_GBK" w:cs="宋体"/>
                <w:color w:val="000000"/>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5E379D5C">
            <w:pPr>
              <w:widowControl/>
              <w:spacing w:line="400" w:lineRule="exac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（一）具有良好的财务状况和支付能力</w:t>
            </w:r>
          </w:p>
        </w:tc>
      </w:tr>
      <w:tr w14:paraId="01CD5D4B">
        <w:tblPrEx>
          <w:tblCellMar>
            <w:top w:w="0" w:type="dxa"/>
            <w:left w:w="108" w:type="dxa"/>
            <w:bottom w:w="0" w:type="dxa"/>
            <w:right w:w="108" w:type="dxa"/>
          </w:tblCellMar>
        </w:tblPrEx>
        <w:trPr>
          <w:trHeight w:val="381" w:hRule="atLeast"/>
        </w:trPr>
        <w:tc>
          <w:tcPr>
            <w:tcW w:w="240" w:type="dxa"/>
            <w:vMerge w:val="continue"/>
            <w:tcBorders>
              <w:top w:val="nil"/>
              <w:left w:val="single" w:color="auto" w:sz="4" w:space="0"/>
              <w:bottom w:val="single" w:color="auto" w:sz="4" w:space="0"/>
              <w:right w:val="single" w:color="auto" w:sz="4" w:space="0"/>
            </w:tcBorders>
            <w:vAlign w:val="center"/>
          </w:tcPr>
          <w:p w14:paraId="168BB55B">
            <w:pPr>
              <w:widowControl/>
              <w:spacing w:line="240" w:lineRule="exact"/>
              <w:jc w:val="left"/>
              <w:rPr>
                <w:rFonts w:ascii="方正黑体_GBK" w:hAnsi="宋体" w:eastAsia="方正黑体_GBK" w:cs="宋体"/>
                <w:bCs/>
                <w:color w:val="000000"/>
                <w:kern w:val="0"/>
                <w:sz w:val="24"/>
                <w:szCs w:val="24"/>
              </w:rPr>
            </w:pPr>
          </w:p>
        </w:tc>
        <w:tc>
          <w:tcPr>
            <w:tcW w:w="1228" w:type="dxa"/>
            <w:vMerge w:val="continue"/>
            <w:tcBorders>
              <w:top w:val="nil"/>
              <w:left w:val="single" w:color="auto" w:sz="4" w:space="0"/>
              <w:bottom w:val="single" w:color="auto" w:sz="4" w:space="0"/>
              <w:right w:val="single" w:color="auto" w:sz="4" w:space="0"/>
            </w:tcBorders>
            <w:vAlign w:val="center"/>
          </w:tcPr>
          <w:p w14:paraId="08B91F2E">
            <w:pPr>
              <w:widowControl/>
              <w:spacing w:line="400" w:lineRule="exact"/>
              <w:jc w:val="left"/>
              <w:rPr>
                <w:rFonts w:ascii="方正仿宋_GBK" w:hAnsi="宋体" w:eastAsia="方正仿宋_GBK" w:cs="宋体"/>
                <w:color w:val="000000"/>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40EDE740">
            <w:pPr>
              <w:widowControl/>
              <w:spacing w:line="400" w:lineRule="exac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（二）有依法缴纳税收和社会保障资金的良好记录</w:t>
            </w:r>
          </w:p>
        </w:tc>
      </w:tr>
      <w:tr w14:paraId="5CE9ACAD">
        <w:tblPrEx>
          <w:tblCellMar>
            <w:top w:w="0" w:type="dxa"/>
            <w:left w:w="108" w:type="dxa"/>
            <w:bottom w:w="0" w:type="dxa"/>
            <w:right w:w="108" w:type="dxa"/>
          </w:tblCellMar>
        </w:tblPrEx>
        <w:trPr>
          <w:trHeight w:val="381" w:hRule="atLeast"/>
        </w:trPr>
        <w:tc>
          <w:tcPr>
            <w:tcW w:w="240" w:type="dxa"/>
            <w:vMerge w:val="continue"/>
            <w:tcBorders>
              <w:top w:val="nil"/>
              <w:left w:val="single" w:color="auto" w:sz="4" w:space="0"/>
              <w:bottom w:val="single" w:color="auto" w:sz="4" w:space="0"/>
              <w:right w:val="single" w:color="auto" w:sz="4" w:space="0"/>
            </w:tcBorders>
            <w:vAlign w:val="center"/>
          </w:tcPr>
          <w:p w14:paraId="3E80ADF5">
            <w:pPr>
              <w:widowControl/>
              <w:spacing w:line="240" w:lineRule="exact"/>
              <w:jc w:val="left"/>
              <w:rPr>
                <w:rFonts w:ascii="方正黑体_GBK" w:hAnsi="宋体" w:eastAsia="方正黑体_GBK" w:cs="宋体"/>
                <w:bCs/>
                <w:color w:val="000000"/>
                <w:kern w:val="0"/>
                <w:sz w:val="24"/>
                <w:szCs w:val="24"/>
              </w:rPr>
            </w:pPr>
          </w:p>
        </w:tc>
        <w:tc>
          <w:tcPr>
            <w:tcW w:w="1228" w:type="dxa"/>
            <w:vMerge w:val="continue"/>
            <w:tcBorders>
              <w:top w:val="nil"/>
              <w:left w:val="single" w:color="auto" w:sz="4" w:space="0"/>
              <w:bottom w:val="single" w:color="auto" w:sz="4" w:space="0"/>
              <w:right w:val="single" w:color="auto" w:sz="4" w:space="0"/>
            </w:tcBorders>
            <w:vAlign w:val="center"/>
          </w:tcPr>
          <w:p w14:paraId="699E742F">
            <w:pPr>
              <w:widowControl/>
              <w:spacing w:line="400" w:lineRule="exact"/>
              <w:jc w:val="left"/>
              <w:rPr>
                <w:rFonts w:ascii="方正仿宋_GBK" w:hAnsi="宋体" w:eastAsia="方正仿宋_GBK" w:cs="宋体"/>
                <w:color w:val="000000"/>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7EDC1A4B">
            <w:pPr>
              <w:widowControl/>
              <w:spacing w:line="400" w:lineRule="exac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（三）参与本次招募不存在其他法律、法规规定的禁止性情形</w:t>
            </w:r>
          </w:p>
        </w:tc>
      </w:tr>
      <w:tr w14:paraId="01ED5057">
        <w:tblPrEx>
          <w:tblCellMar>
            <w:top w:w="0" w:type="dxa"/>
            <w:left w:w="108" w:type="dxa"/>
            <w:bottom w:w="0" w:type="dxa"/>
            <w:right w:w="108" w:type="dxa"/>
          </w:tblCellMar>
        </w:tblPrEx>
        <w:trPr>
          <w:trHeight w:val="381" w:hRule="atLeast"/>
        </w:trPr>
        <w:tc>
          <w:tcPr>
            <w:tcW w:w="240" w:type="dxa"/>
            <w:vMerge w:val="continue"/>
            <w:tcBorders>
              <w:top w:val="nil"/>
              <w:left w:val="single" w:color="auto" w:sz="4" w:space="0"/>
              <w:bottom w:val="single" w:color="auto" w:sz="4" w:space="0"/>
              <w:right w:val="single" w:color="auto" w:sz="4" w:space="0"/>
            </w:tcBorders>
            <w:vAlign w:val="center"/>
          </w:tcPr>
          <w:p w14:paraId="0B924563">
            <w:pPr>
              <w:widowControl/>
              <w:spacing w:line="240" w:lineRule="exact"/>
              <w:jc w:val="left"/>
              <w:rPr>
                <w:rFonts w:ascii="方正黑体_GBK" w:hAnsi="宋体" w:eastAsia="方正黑体_GBK" w:cs="宋体"/>
                <w:bCs/>
                <w:color w:val="000000"/>
                <w:kern w:val="0"/>
                <w:sz w:val="24"/>
                <w:szCs w:val="24"/>
              </w:rPr>
            </w:pPr>
          </w:p>
        </w:tc>
        <w:tc>
          <w:tcPr>
            <w:tcW w:w="1228" w:type="dxa"/>
            <w:vMerge w:val="continue"/>
            <w:tcBorders>
              <w:top w:val="nil"/>
              <w:left w:val="single" w:color="auto" w:sz="4" w:space="0"/>
              <w:bottom w:val="single" w:color="auto" w:sz="4" w:space="0"/>
              <w:right w:val="single" w:color="auto" w:sz="4" w:space="0"/>
            </w:tcBorders>
            <w:vAlign w:val="center"/>
          </w:tcPr>
          <w:p w14:paraId="057CA6F5">
            <w:pPr>
              <w:widowControl/>
              <w:spacing w:line="400" w:lineRule="exact"/>
              <w:jc w:val="left"/>
              <w:rPr>
                <w:rFonts w:ascii="方正仿宋_GBK" w:hAnsi="宋体" w:eastAsia="方正仿宋_GBK" w:cs="宋体"/>
                <w:color w:val="000000"/>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1A1DBD21">
            <w:pPr>
              <w:widowControl/>
              <w:spacing w:line="400" w:lineRule="exac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（四）具备游泳装备的销售资质，销售物品以国内知名品牌为主</w:t>
            </w:r>
          </w:p>
        </w:tc>
      </w:tr>
      <w:tr w14:paraId="092A6367">
        <w:tblPrEx>
          <w:tblCellMar>
            <w:top w:w="0" w:type="dxa"/>
            <w:left w:w="108" w:type="dxa"/>
            <w:bottom w:w="0" w:type="dxa"/>
            <w:right w:w="108" w:type="dxa"/>
          </w:tblCellMar>
        </w:tblPrEx>
        <w:trPr>
          <w:trHeight w:val="381" w:hRule="atLeast"/>
        </w:trPr>
        <w:tc>
          <w:tcPr>
            <w:tcW w:w="240" w:type="dxa"/>
            <w:vMerge w:val="continue"/>
            <w:tcBorders>
              <w:top w:val="nil"/>
              <w:left w:val="single" w:color="auto" w:sz="4" w:space="0"/>
              <w:bottom w:val="single" w:color="auto" w:sz="4" w:space="0"/>
              <w:right w:val="single" w:color="auto" w:sz="4" w:space="0"/>
            </w:tcBorders>
            <w:vAlign w:val="center"/>
          </w:tcPr>
          <w:p w14:paraId="082FD9AC">
            <w:pPr>
              <w:widowControl/>
              <w:spacing w:line="240" w:lineRule="exact"/>
              <w:jc w:val="left"/>
              <w:rPr>
                <w:rFonts w:ascii="方正黑体_GBK" w:hAnsi="宋体" w:eastAsia="方正黑体_GBK" w:cs="宋体"/>
                <w:bCs/>
                <w:color w:val="000000"/>
                <w:kern w:val="0"/>
                <w:sz w:val="24"/>
                <w:szCs w:val="24"/>
              </w:rPr>
            </w:pPr>
          </w:p>
        </w:tc>
        <w:tc>
          <w:tcPr>
            <w:tcW w:w="1228" w:type="dxa"/>
            <w:vMerge w:val="continue"/>
            <w:tcBorders>
              <w:top w:val="nil"/>
              <w:left w:val="single" w:color="auto" w:sz="4" w:space="0"/>
              <w:bottom w:val="single" w:color="auto" w:sz="4" w:space="0"/>
              <w:right w:val="single" w:color="auto" w:sz="4" w:space="0"/>
            </w:tcBorders>
            <w:vAlign w:val="center"/>
          </w:tcPr>
          <w:p w14:paraId="2EBE5A94">
            <w:pPr>
              <w:widowControl/>
              <w:spacing w:line="400" w:lineRule="exact"/>
              <w:jc w:val="left"/>
              <w:rPr>
                <w:rFonts w:ascii="方正仿宋_GBK" w:hAnsi="宋体" w:eastAsia="方正仿宋_GBK" w:cs="宋体"/>
                <w:color w:val="000000"/>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57A5A7FC">
            <w:pPr>
              <w:widowControl/>
              <w:spacing w:line="400" w:lineRule="exac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（五）在经营活动中没有重大违法记录、无不良信用记录的企业法人</w:t>
            </w:r>
          </w:p>
        </w:tc>
      </w:tr>
      <w:tr w14:paraId="38B25D18">
        <w:tblPrEx>
          <w:tblCellMar>
            <w:top w:w="0" w:type="dxa"/>
            <w:left w:w="108" w:type="dxa"/>
            <w:bottom w:w="0" w:type="dxa"/>
            <w:right w:w="108" w:type="dxa"/>
          </w:tblCellMar>
        </w:tblPrEx>
        <w:trPr>
          <w:trHeight w:val="595" w:hRule="atLeast"/>
        </w:trPr>
        <w:tc>
          <w:tcPr>
            <w:tcW w:w="240" w:type="dxa"/>
            <w:vMerge w:val="restart"/>
            <w:tcBorders>
              <w:top w:val="nil"/>
              <w:left w:val="single" w:color="auto" w:sz="4" w:space="0"/>
              <w:bottom w:val="single" w:color="000000" w:sz="4" w:space="0"/>
              <w:right w:val="single" w:color="auto" w:sz="4" w:space="0"/>
            </w:tcBorders>
            <w:shd w:val="clear" w:color="auto" w:fill="auto"/>
            <w:vAlign w:val="center"/>
          </w:tcPr>
          <w:p w14:paraId="3A3410FA">
            <w:pPr>
              <w:widowControl/>
              <w:spacing w:line="240" w:lineRule="exact"/>
              <w:jc w:val="center"/>
              <w:rPr>
                <w:rFonts w:ascii="方正黑体_GBK" w:hAnsi="宋体" w:eastAsia="方正黑体_GBK" w:cs="宋体"/>
                <w:bCs/>
                <w:color w:val="000000"/>
                <w:kern w:val="0"/>
                <w:sz w:val="24"/>
                <w:szCs w:val="24"/>
              </w:rPr>
            </w:pPr>
            <w:r>
              <w:rPr>
                <w:rFonts w:hint="eastAsia" w:ascii="方正黑体_GBK" w:hAnsi="宋体" w:eastAsia="方正黑体_GBK" w:cs="宋体"/>
                <w:bCs/>
                <w:color w:val="000000"/>
                <w:kern w:val="0"/>
                <w:sz w:val="24"/>
                <w:szCs w:val="24"/>
              </w:rPr>
              <w:t>报名须知</w:t>
            </w:r>
          </w:p>
        </w:tc>
        <w:tc>
          <w:tcPr>
            <w:tcW w:w="1228" w:type="dxa"/>
            <w:tcBorders>
              <w:top w:val="nil"/>
              <w:left w:val="nil"/>
              <w:bottom w:val="single" w:color="auto" w:sz="4" w:space="0"/>
              <w:right w:val="single" w:color="auto" w:sz="4" w:space="0"/>
            </w:tcBorders>
            <w:shd w:val="clear" w:color="auto" w:fill="auto"/>
            <w:vAlign w:val="center"/>
          </w:tcPr>
          <w:p w14:paraId="7A7C2740">
            <w:pPr>
              <w:widowControl/>
              <w:spacing w:line="400" w:lineRule="exact"/>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报名时间</w:t>
            </w:r>
          </w:p>
        </w:tc>
        <w:tc>
          <w:tcPr>
            <w:tcW w:w="7156" w:type="dxa"/>
            <w:tcBorders>
              <w:top w:val="nil"/>
              <w:left w:val="nil"/>
              <w:bottom w:val="single" w:color="auto" w:sz="4" w:space="0"/>
              <w:right w:val="single" w:color="auto" w:sz="4" w:space="0"/>
            </w:tcBorders>
            <w:shd w:val="clear" w:color="auto" w:fill="auto"/>
            <w:vAlign w:val="center"/>
          </w:tcPr>
          <w:p w14:paraId="07FAB9B1">
            <w:pPr>
              <w:widowControl/>
              <w:spacing w:line="400" w:lineRule="exac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 xml:space="preserve">  </w:t>
            </w:r>
            <w:r>
              <w:rPr>
                <w:rFonts w:hint="eastAsia" w:ascii="方正仿宋_GBK" w:hAnsi="宋体" w:eastAsia="方正仿宋_GBK" w:cs="宋体"/>
                <w:color w:val="000000"/>
                <w:kern w:val="0"/>
                <w:sz w:val="24"/>
                <w:szCs w:val="24"/>
                <w:u w:val="single"/>
              </w:rPr>
              <w:t xml:space="preserve"> 2026 </w:t>
            </w:r>
            <w:r>
              <w:rPr>
                <w:rFonts w:hint="eastAsia" w:ascii="方正仿宋_GBK" w:hAnsi="宋体" w:eastAsia="方正仿宋_GBK" w:cs="宋体"/>
                <w:color w:val="000000"/>
                <w:kern w:val="0"/>
                <w:sz w:val="24"/>
                <w:szCs w:val="24"/>
              </w:rPr>
              <w:t>年</w:t>
            </w:r>
            <w:r>
              <w:rPr>
                <w:rFonts w:hint="eastAsia" w:ascii="方正仿宋_GBK" w:hAnsi="宋体" w:eastAsia="方正仿宋_GBK" w:cs="宋体"/>
                <w:color w:val="000000"/>
                <w:kern w:val="0"/>
                <w:sz w:val="24"/>
                <w:szCs w:val="24"/>
                <w:u w:val="single"/>
              </w:rPr>
              <w:t xml:space="preserve"> </w:t>
            </w:r>
            <w:r>
              <w:rPr>
                <w:rFonts w:hint="eastAsia" w:ascii="方正仿宋_GBK" w:hAnsi="宋体" w:eastAsia="方正仿宋_GBK" w:cs="宋体"/>
                <w:color w:val="000000"/>
                <w:kern w:val="0"/>
                <w:sz w:val="24"/>
                <w:szCs w:val="24"/>
                <w:u w:val="single"/>
                <w:lang w:val="en-US" w:eastAsia="zh-CN"/>
              </w:rPr>
              <w:t>8</w:t>
            </w:r>
            <w:r>
              <w:rPr>
                <w:rFonts w:hint="eastAsia" w:ascii="方正仿宋_GBK" w:hAnsi="宋体" w:eastAsia="方正仿宋_GBK" w:cs="宋体"/>
                <w:color w:val="000000"/>
                <w:kern w:val="0"/>
                <w:sz w:val="24"/>
                <w:szCs w:val="24"/>
              </w:rPr>
              <w:t>月</w:t>
            </w:r>
            <w:r>
              <w:rPr>
                <w:rFonts w:hint="eastAsia" w:ascii="方正仿宋_GBK" w:hAnsi="宋体" w:eastAsia="方正仿宋_GBK" w:cs="宋体"/>
                <w:color w:val="000000"/>
                <w:kern w:val="0"/>
                <w:sz w:val="24"/>
                <w:szCs w:val="24"/>
                <w:u w:val="single"/>
                <w:lang w:val="en-US" w:eastAsia="zh-CN"/>
              </w:rPr>
              <w:t>19</w:t>
            </w:r>
            <w:r>
              <w:rPr>
                <w:rFonts w:hint="eastAsia" w:ascii="方正仿宋_GBK" w:hAnsi="宋体" w:eastAsia="方正仿宋_GBK" w:cs="宋体"/>
                <w:color w:val="000000"/>
                <w:kern w:val="0"/>
                <w:sz w:val="24"/>
                <w:szCs w:val="24"/>
              </w:rPr>
              <w:t>日至</w:t>
            </w:r>
            <w:r>
              <w:rPr>
                <w:rFonts w:hint="eastAsia" w:ascii="方正仿宋_GBK" w:hAnsi="宋体" w:eastAsia="方正仿宋_GBK" w:cs="宋体"/>
                <w:color w:val="000000"/>
                <w:kern w:val="0"/>
                <w:sz w:val="24"/>
                <w:szCs w:val="24"/>
                <w:u w:val="single"/>
              </w:rPr>
              <w:t xml:space="preserve"> 2026 </w:t>
            </w:r>
            <w:r>
              <w:rPr>
                <w:rFonts w:hint="eastAsia" w:ascii="方正仿宋_GBK" w:hAnsi="宋体" w:eastAsia="方正仿宋_GBK" w:cs="宋体"/>
                <w:color w:val="000000"/>
                <w:kern w:val="0"/>
                <w:sz w:val="24"/>
                <w:szCs w:val="24"/>
              </w:rPr>
              <w:t>年</w:t>
            </w:r>
            <w:r>
              <w:rPr>
                <w:rFonts w:hint="eastAsia" w:ascii="方正仿宋_GBK" w:hAnsi="宋体" w:eastAsia="方正仿宋_GBK" w:cs="宋体"/>
                <w:color w:val="000000"/>
                <w:kern w:val="0"/>
                <w:sz w:val="24"/>
                <w:szCs w:val="24"/>
                <w:u w:val="single"/>
                <w:lang w:val="en-US" w:eastAsia="zh-CN"/>
              </w:rPr>
              <w:t>8</w:t>
            </w:r>
            <w:r>
              <w:rPr>
                <w:rFonts w:hint="eastAsia" w:ascii="方正仿宋_GBK" w:hAnsi="宋体" w:eastAsia="方正仿宋_GBK" w:cs="宋体"/>
                <w:color w:val="000000"/>
                <w:kern w:val="0"/>
                <w:sz w:val="24"/>
                <w:szCs w:val="24"/>
              </w:rPr>
              <w:t>月</w:t>
            </w:r>
            <w:r>
              <w:rPr>
                <w:rFonts w:hint="eastAsia" w:ascii="方正仿宋_GBK" w:hAnsi="宋体" w:eastAsia="方正仿宋_GBK" w:cs="宋体"/>
                <w:color w:val="000000"/>
                <w:kern w:val="0"/>
                <w:sz w:val="24"/>
                <w:szCs w:val="24"/>
                <w:u w:val="single"/>
              </w:rPr>
              <w:t xml:space="preserve"> </w:t>
            </w:r>
            <w:r>
              <w:rPr>
                <w:rFonts w:hint="eastAsia" w:ascii="方正仿宋_GBK" w:hAnsi="宋体" w:eastAsia="方正仿宋_GBK" w:cs="宋体"/>
                <w:color w:val="000000"/>
                <w:kern w:val="0"/>
                <w:sz w:val="24"/>
                <w:szCs w:val="24"/>
                <w:u w:val="single"/>
                <w:lang w:val="en-US" w:eastAsia="zh-CN"/>
              </w:rPr>
              <w:t>21</w:t>
            </w:r>
            <w:r>
              <w:rPr>
                <w:rFonts w:hint="eastAsia" w:ascii="方正仿宋_GBK" w:hAnsi="宋体" w:eastAsia="方正仿宋_GBK" w:cs="宋体"/>
                <w:color w:val="000000"/>
                <w:kern w:val="0"/>
                <w:sz w:val="24"/>
                <w:szCs w:val="24"/>
              </w:rPr>
              <w:t>日（公示期3天）</w:t>
            </w:r>
          </w:p>
        </w:tc>
      </w:tr>
      <w:tr w14:paraId="7CAC4514">
        <w:tblPrEx>
          <w:tblCellMar>
            <w:top w:w="0" w:type="dxa"/>
            <w:left w:w="108" w:type="dxa"/>
            <w:bottom w:w="0" w:type="dxa"/>
            <w:right w:w="108" w:type="dxa"/>
          </w:tblCellMar>
        </w:tblPrEx>
        <w:trPr>
          <w:trHeight w:val="1740" w:hRule="atLeast"/>
        </w:trPr>
        <w:tc>
          <w:tcPr>
            <w:tcW w:w="240" w:type="dxa"/>
            <w:vMerge w:val="continue"/>
            <w:tcBorders>
              <w:top w:val="nil"/>
              <w:left w:val="single" w:color="auto" w:sz="4" w:space="0"/>
              <w:bottom w:val="single" w:color="000000" w:sz="4" w:space="0"/>
              <w:right w:val="single" w:color="auto" w:sz="4" w:space="0"/>
            </w:tcBorders>
            <w:vAlign w:val="center"/>
          </w:tcPr>
          <w:p w14:paraId="2DAA387D">
            <w:pPr>
              <w:widowControl/>
              <w:spacing w:line="240" w:lineRule="exact"/>
              <w:jc w:val="left"/>
              <w:rPr>
                <w:rFonts w:ascii="方正黑体_GBK" w:hAnsi="宋体" w:eastAsia="方正黑体_GBK" w:cs="宋体"/>
                <w:bCs/>
                <w:color w:val="000000"/>
                <w:kern w:val="0"/>
                <w:sz w:val="24"/>
                <w:szCs w:val="24"/>
              </w:rPr>
            </w:pPr>
          </w:p>
        </w:tc>
        <w:tc>
          <w:tcPr>
            <w:tcW w:w="1228" w:type="dxa"/>
            <w:vMerge w:val="restart"/>
            <w:tcBorders>
              <w:top w:val="nil"/>
              <w:left w:val="single" w:color="auto" w:sz="4" w:space="0"/>
              <w:bottom w:val="single" w:color="auto" w:sz="4" w:space="0"/>
              <w:right w:val="single" w:color="auto" w:sz="4" w:space="0"/>
            </w:tcBorders>
            <w:shd w:val="clear" w:color="auto" w:fill="auto"/>
            <w:vAlign w:val="center"/>
          </w:tcPr>
          <w:p w14:paraId="7645D3EC">
            <w:pPr>
              <w:widowControl/>
              <w:spacing w:line="400" w:lineRule="exact"/>
              <w:jc w:val="center"/>
              <w:rPr>
                <w:rFonts w:ascii="方正仿宋_GBK" w:hAnsi="宋体" w:eastAsia="方正仿宋_GBK" w:cs="宋体"/>
                <w:kern w:val="0"/>
                <w:sz w:val="24"/>
                <w:szCs w:val="24"/>
              </w:rPr>
            </w:pPr>
            <w:r>
              <w:rPr>
                <w:rFonts w:hint="eastAsia" w:ascii="方正仿宋_GBK" w:hAnsi="宋体" w:eastAsia="方正仿宋_GBK" w:cs="宋体"/>
                <w:kern w:val="0"/>
                <w:sz w:val="24"/>
                <w:szCs w:val="24"/>
              </w:rPr>
              <w:t>报名手续</w:t>
            </w:r>
          </w:p>
        </w:tc>
        <w:tc>
          <w:tcPr>
            <w:tcW w:w="7156" w:type="dxa"/>
            <w:tcBorders>
              <w:top w:val="nil"/>
              <w:left w:val="nil"/>
              <w:bottom w:val="single" w:color="auto" w:sz="4" w:space="0"/>
              <w:right w:val="single" w:color="auto" w:sz="4" w:space="0"/>
            </w:tcBorders>
            <w:shd w:val="clear" w:color="auto" w:fill="auto"/>
            <w:vAlign w:val="center"/>
          </w:tcPr>
          <w:p w14:paraId="6FDFEDA2">
            <w:pPr>
              <w:widowControl/>
              <w:spacing w:line="400" w:lineRule="exac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一、意向合作方应按本公告要求提交相关报名材料，于公告期截止当日17点30分前，向南京奥体中心游泳馆提出合作申请，并提交相关资料，并缴纳投标保证金2000元，报名时间：9：00—1</w:t>
            </w:r>
            <w:r>
              <w:rPr>
                <w:rFonts w:ascii="方正仿宋_GBK" w:hAnsi="宋体" w:eastAsia="方正仿宋_GBK" w:cs="宋体"/>
                <w:color w:val="000000"/>
                <w:kern w:val="0"/>
                <w:sz w:val="24"/>
                <w:szCs w:val="24"/>
              </w:rPr>
              <w:t>7</w:t>
            </w:r>
            <w:r>
              <w:rPr>
                <w:rFonts w:hint="eastAsia" w:ascii="方正仿宋_GBK" w:hAnsi="宋体" w:eastAsia="方正仿宋_GBK" w:cs="宋体"/>
                <w:color w:val="000000"/>
                <w:kern w:val="0"/>
                <w:sz w:val="24"/>
                <w:szCs w:val="24"/>
              </w:rPr>
              <w:t>:30，节假日除外。保证金须以对公支付至如下帐户：户名：南京奥体中心经营管理有限公司，</w:t>
            </w:r>
            <w:bookmarkStart w:id="0" w:name="_GoBack"/>
            <w:bookmarkEnd w:id="0"/>
            <w:r>
              <w:rPr>
                <w:rFonts w:hint="eastAsia" w:ascii="方正仿宋_GBK" w:hAnsi="宋体" w:eastAsia="方正仿宋_GBK" w:cs="宋体"/>
                <w:color w:val="000000"/>
                <w:kern w:val="0"/>
                <w:sz w:val="24"/>
                <w:szCs w:val="24"/>
              </w:rPr>
              <w:t>开户行：江苏银行南京玄武支行；帐号：</w:t>
            </w:r>
            <w:r>
              <w:rPr>
                <w:rFonts w:ascii="方正仿宋_GBK" w:hAnsi="宋体" w:eastAsia="方正仿宋_GBK" w:cs="宋体"/>
                <w:color w:val="000000"/>
                <w:kern w:val="0"/>
                <w:sz w:val="24"/>
                <w:szCs w:val="24"/>
              </w:rPr>
              <w:t>31320188000031919</w:t>
            </w:r>
            <w:r>
              <w:rPr>
                <w:rFonts w:hint="eastAsia" w:ascii="方正仿宋_GBK" w:hAnsi="宋体" w:eastAsia="方正仿宋_GBK" w:cs="宋体"/>
                <w:color w:val="000000"/>
                <w:kern w:val="0"/>
                <w:sz w:val="24"/>
                <w:szCs w:val="24"/>
              </w:rPr>
              <w:t>；如中标者未在十五日按要求签署合作协议，则保证金没收、不再返还；未中标者保证金，在中标合作协议签署后5日内返还投标人</w:t>
            </w:r>
          </w:p>
        </w:tc>
      </w:tr>
      <w:tr w14:paraId="3BDB1941">
        <w:tblPrEx>
          <w:tblCellMar>
            <w:top w:w="0" w:type="dxa"/>
            <w:left w:w="108" w:type="dxa"/>
            <w:bottom w:w="0" w:type="dxa"/>
            <w:right w:w="108" w:type="dxa"/>
          </w:tblCellMar>
        </w:tblPrEx>
        <w:trPr>
          <w:trHeight w:val="909" w:hRule="atLeast"/>
        </w:trPr>
        <w:tc>
          <w:tcPr>
            <w:tcW w:w="240" w:type="dxa"/>
            <w:vMerge w:val="continue"/>
            <w:tcBorders>
              <w:top w:val="nil"/>
              <w:left w:val="single" w:color="auto" w:sz="4" w:space="0"/>
              <w:bottom w:val="single" w:color="000000" w:sz="4" w:space="0"/>
              <w:right w:val="single" w:color="auto" w:sz="4" w:space="0"/>
            </w:tcBorders>
            <w:vAlign w:val="center"/>
          </w:tcPr>
          <w:p w14:paraId="77E2F963">
            <w:pPr>
              <w:widowControl/>
              <w:spacing w:line="240" w:lineRule="exact"/>
              <w:jc w:val="left"/>
              <w:rPr>
                <w:rFonts w:ascii="方正黑体_GBK" w:hAnsi="宋体" w:eastAsia="方正黑体_GBK" w:cs="宋体"/>
                <w:bCs/>
                <w:color w:val="000000"/>
                <w:kern w:val="0"/>
                <w:sz w:val="24"/>
                <w:szCs w:val="24"/>
              </w:rPr>
            </w:pPr>
          </w:p>
        </w:tc>
        <w:tc>
          <w:tcPr>
            <w:tcW w:w="1228" w:type="dxa"/>
            <w:vMerge w:val="continue"/>
            <w:tcBorders>
              <w:top w:val="nil"/>
              <w:left w:val="single" w:color="auto" w:sz="4" w:space="0"/>
              <w:bottom w:val="single" w:color="auto" w:sz="4" w:space="0"/>
              <w:right w:val="single" w:color="auto" w:sz="4" w:space="0"/>
            </w:tcBorders>
            <w:vAlign w:val="center"/>
          </w:tcPr>
          <w:p w14:paraId="5986452C">
            <w:pPr>
              <w:widowControl/>
              <w:spacing w:line="400" w:lineRule="exact"/>
              <w:jc w:val="left"/>
              <w:rPr>
                <w:rFonts w:ascii="方正仿宋_GBK" w:hAnsi="宋体" w:eastAsia="方正仿宋_GBK" w:cs="宋体"/>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0F188CB8">
            <w:pPr>
              <w:widowControl/>
              <w:spacing w:line="400" w:lineRule="exact"/>
              <w:rPr>
                <w:rFonts w:ascii="方正仿宋_GBK" w:hAnsi="宋体" w:eastAsia="方正仿宋_GBK" w:cs="宋体"/>
                <w:kern w:val="0"/>
                <w:sz w:val="24"/>
                <w:szCs w:val="24"/>
              </w:rPr>
            </w:pPr>
            <w:r>
              <w:rPr>
                <w:rFonts w:hint="eastAsia" w:ascii="方正仿宋_GBK" w:hAnsi="宋体" w:eastAsia="方正仿宋_GBK" w:cs="宋体"/>
                <w:kern w:val="0"/>
                <w:sz w:val="24"/>
                <w:szCs w:val="24"/>
              </w:rPr>
              <w:t>二、意向合作方须报送材料（所有材料加盖公章，书面材料递至南京奥体中心游泳馆，扫描件发送至603455918.com邮箱，未能提供书面材料及扫描件的，报名无效）</w:t>
            </w:r>
          </w:p>
        </w:tc>
      </w:tr>
      <w:tr w14:paraId="2A4485FF">
        <w:tblPrEx>
          <w:tblCellMar>
            <w:top w:w="0" w:type="dxa"/>
            <w:left w:w="108" w:type="dxa"/>
            <w:bottom w:w="0" w:type="dxa"/>
            <w:right w:w="108" w:type="dxa"/>
          </w:tblCellMar>
        </w:tblPrEx>
        <w:trPr>
          <w:trHeight w:val="453" w:hRule="atLeast"/>
        </w:trPr>
        <w:tc>
          <w:tcPr>
            <w:tcW w:w="240" w:type="dxa"/>
            <w:vMerge w:val="continue"/>
            <w:tcBorders>
              <w:top w:val="nil"/>
              <w:left w:val="single" w:color="auto" w:sz="4" w:space="0"/>
              <w:bottom w:val="single" w:color="000000" w:sz="4" w:space="0"/>
              <w:right w:val="single" w:color="auto" w:sz="4" w:space="0"/>
            </w:tcBorders>
            <w:vAlign w:val="center"/>
          </w:tcPr>
          <w:p w14:paraId="5F64A51C">
            <w:pPr>
              <w:widowControl/>
              <w:spacing w:line="240" w:lineRule="exact"/>
              <w:jc w:val="left"/>
              <w:rPr>
                <w:rFonts w:ascii="方正黑体_GBK" w:hAnsi="宋体" w:eastAsia="方正黑体_GBK" w:cs="宋体"/>
                <w:bCs/>
                <w:color w:val="000000"/>
                <w:kern w:val="0"/>
                <w:sz w:val="24"/>
                <w:szCs w:val="24"/>
              </w:rPr>
            </w:pPr>
          </w:p>
        </w:tc>
        <w:tc>
          <w:tcPr>
            <w:tcW w:w="1228" w:type="dxa"/>
            <w:vMerge w:val="continue"/>
            <w:tcBorders>
              <w:top w:val="nil"/>
              <w:left w:val="single" w:color="auto" w:sz="4" w:space="0"/>
              <w:bottom w:val="single" w:color="auto" w:sz="4" w:space="0"/>
              <w:right w:val="single" w:color="auto" w:sz="4" w:space="0"/>
            </w:tcBorders>
            <w:vAlign w:val="center"/>
          </w:tcPr>
          <w:p w14:paraId="331EFC7D">
            <w:pPr>
              <w:widowControl/>
              <w:spacing w:line="400" w:lineRule="exact"/>
              <w:jc w:val="left"/>
              <w:rPr>
                <w:rFonts w:ascii="方正仿宋_GBK" w:hAnsi="宋体" w:eastAsia="方正仿宋_GBK" w:cs="宋体"/>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46C90EAB">
            <w:pPr>
              <w:widowControl/>
              <w:spacing w:line="400" w:lineRule="exac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1.企业法人营业执照复印件</w:t>
            </w:r>
          </w:p>
        </w:tc>
      </w:tr>
      <w:tr w14:paraId="5069EC75">
        <w:tblPrEx>
          <w:tblCellMar>
            <w:top w:w="0" w:type="dxa"/>
            <w:left w:w="108" w:type="dxa"/>
            <w:bottom w:w="0" w:type="dxa"/>
            <w:right w:w="108" w:type="dxa"/>
          </w:tblCellMar>
        </w:tblPrEx>
        <w:trPr>
          <w:trHeight w:val="522" w:hRule="atLeast"/>
        </w:trPr>
        <w:tc>
          <w:tcPr>
            <w:tcW w:w="240" w:type="dxa"/>
            <w:vMerge w:val="continue"/>
            <w:tcBorders>
              <w:top w:val="nil"/>
              <w:left w:val="single" w:color="auto" w:sz="4" w:space="0"/>
              <w:bottom w:val="single" w:color="000000" w:sz="4" w:space="0"/>
              <w:right w:val="single" w:color="auto" w:sz="4" w:space="0"/>
            </w:tcBorders>
            <w:vAlign w:val="center"/>
          </w:tcPr>
          <w:p w14:paraId="21D5533E">
            <w:pPr>
              <w:widowControl/>
              <w:spacing w:line="240" w:lineRule="exact"/>
              <w:jc w:val="left"/>
              <w:rPr>
                <w:rFonts w:ascii="方正黑体_GBK" w:hAnsi="宋体" w:eastAsia="方正黑体_GBK" w:cs="宋体"/>
                <w:bCs/>
                <w:color w:val="000000"/>
                <w:kern w:val="0"/>
                <w:sz w:val="24"/>
                <w:szCs w:val="24"/>
              </w:rPr>
            </w:pPr>
          </w:p>
        </w:tc>
        <w:tc>
          <w:tcPr>
            <w:tcW w:w="1228" w:type="dxa"/>
            <w:vMerge w:val="continue"/>
            <w:tcBorders>
              <w:top w:val="nil"/>
              <w:left w:val="single" w:color="auto" w:sz="4" w:space="0"/>
              <w:bottom w:val="single" w:color="auto" w:sz="4" w:space="0"/>
              <w:right w:val="single" w:color="auto" w:sz="4" w:space="0"/>
            </w:tcBorders>
            <w:vAlign w:val="center"/>
          </w:tcPr>
          <w:p w14:paraId="0FE72F91">
            <w:pPr>
              <w:widowControl/>
              <w:spacing w:line="400" w:lineRule="exact"/>
              <w:jc w:val="left"/>
              <w:rPr>
                <w:rFonts w:ascii="方正仿宋_GBK" w:hAnsi="宋体" w:eastAsia="方正仿宋_GBK" w:cs="宋体"/>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33189070">
            <w:pPr>
              <w:widowControl/>
              <w:spacing w:line="400" w:lineRule="exac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2.企业的基本情况及决定（同意）合作的内部决策文件（原件）</w:t>
            </w:r>
          </w:p>
        </w:tc>
      </w:tr>
      <w:tr w14:paraId="0AE37B07">
        <w:tblPrEx>
          <w:tblCellMar>
            <w:top w:w="0" w:type="dxa"/>
            <w:left w:w="108" w:type="dxa"/>
            <w:bottom w:w="0" w:type="dxa"/>
            <w:right w:w="108" w:type="dxa"/>
          </w:tblCellMar>
        </w:tblPrEx>
        <w:trPr>
          <w:trHeight w:val="564" w:hRule="atLeast"/>
        </w:trPr>
        <w:tc>
          <w:tcPr>
            <w:tcW w:w="240" w:type="dxa"/>
            <w:vMerge w:val="continue"/>
            <w:tcBorders>
              <w:top w:val="nil"/>
              <w:left w:val="single" w:color="auto" w:sz="4" w:space="0"/>
              <w:bottom w:val="single" w:color="000000" w:sz="4" w:space="0"/>
              <w:right w:val="single" w:color="auto" w:sz="4" w:space="0"/>
            </w:tcBorders>
            <w:vAlign w:val="center"/>
          </w:tcPr>
          <w:p w14:paraId="0AA12132">
            <w:pPr>
              <w:widowControl/>
              <w:spacing w:line="240" w:lineRule="exact"/>
              <w:jc w:val="left"/>
              <w:rPr>
                <w:rFonts w:ascii="方正黑体_GBK" w:hAnsi="宋体" w:eastAsia="方正黑体_GBK" w:cs="宋体"/>
                <w:bCs/>
                <w:color w:val="000000"/>
                <w:kern w:val="0"/>
                <w:sz w:val="24"/>
                <w:szCs w:val="24"/>
              </w:rPr>
            </w:pPr>
          </w:p>
        </w:tc>
        <w:tc>
          <w:tcPr>
            <w:tcW w:w="1228" w:type="dxa"/>
            <w:vMerge w:val="continue"/>
            <w:tcBorders>
              <w:top w:val="nil"/>
              <w:left w:val="single" w:color="auto" w:sz="4" w:space="0"/>
              <w:bottom w:val="single" w:color="auto" w:sz="4" w:space="0"/>
              <w:right w:val="single" w:color="auto" w:sz="4" w:space="0"/>
            </w:tcBorders>
            <w:vAlign w:val="center"/>
          </w:tcPr>
          <w:p w14:paraId="628322B9">
            <w:pPr>
              <w:widowControl/>
              <w:spacing w:line="400" w:lineRule="exact"/>
              <w:jc w:val="left"/>
              <w:rPr>
                <w:rFonts w:ascii="方正仿宋_GBK" w:hAnsi="宋体" w:eastAsia="方正仿宋_GBK" w:cs="宋体"/>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5BD80FD0">
            <w:pPr>
              <w:widowControl/>
              <w:spacing w:line="400" w:lineRule="exac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3.法定代表人身份证复印件。委托办理的须提供授权委托书原件，法人身份证复印件，银行开户信息，以及受委托人的身份证原件及复印件，以上材料需加盖公章。</w:t>
            </w:r>
          </w:p>
        </w:tc>
      </w:tr>
      <w:tr w14:paraId="59D87DB4">
        <w:tblPrEx>
          <w:tblCellMar>
            <w:top w:w="0" w:type="dxa"/>
            <w:left w:w="108" w:type="dxa"/>
            <w:bottom w:w="0" w:type="dxa"/>
            <w:right w:w="108" w:type="dxa"/>
          </w:tblCellMar>
        </w:tblPrEx>
        <w:trPr>
          <w:trHeight w:val="394" w:hRule="atLeast"/>
        </w:trPr>
        <w:tc>
          <w:tcPr>
            <w:tcW w:w="240" w:type="dxa"/>
            <w:vMerge w:val="continue"/>
            <w:tcBorders>
              <w:top w:val="nil"/>
              <w:left w:val="single" w:color="auto" w:sz="4" w:space="0"/>
              <w:bottom w:val="single" w:color="000000" w:sz="4" w:space="0"/>
              <w:right w:val="single" w:color="auto" w:sz="4" w:space="0"/>
            </w:tcBorders>
            <w:vAlign w:val="center"/>
          </w:tcPr>
          <w:p w14:paraId="53F37490">
            <w:pPr>
              <w:widowControl/>
              <w:spacing w:line="240" w:lineRule="exact"/>
              <w:jc w:val="left"/>
              <w:rPr>
                <w:rFonts w:ascii="方正黑体_GBK" w:hAnsi="宋体" w:eastAsia="方正黑体_GBK" w:cs="宋体"/>
                <w:bCs/>
                <w:color w:val="000000"/>
                <w:kern w:val="0"/>
                <w:sz w:val="24"/>
                <w:szCs w:val="24"/>
              </w:rPr>
            </w:pPr>
          </w:p>
        </w:tc>
        <w:tc>
          <w:tcPr>
            <w:tcW w:w="1228" w:type="dxa"/>
            <w:vMerge w:val="continue"/>
            <w:tcBorders>
              <w:top w:val="nil"/>
              <w:left w:val="single" w:color="auto" w:sz="4" w:space="0"/>
              <w:bottom w:val="single" w:color="auto" w:sz="4" w:space="0"/>
              <w:right w:val="single" w:color="auto" w:sz="4" w:space="0"/>
            </w:tcBorders>
            <w:vAlign w:val="center"/>
          </w:tcPr>
          <w:p w14:paraId="3DCB9AEB">
            <w:pPr>
              <w:widowControl/>
              <w:spacing w:line="400" w:lineRule="exact"/>
              <w:jc w:val="left"/>
              <w:rPr>
                <w:rFonts w:ascii="方正仿宋_GBK" w:hAnsi="宋体" w:eastAsia="方正仿宋_GBK" w:cs="宋体"/>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470304B5">
            <w:pPr>
              <w:widowControl/>
              <w:spacing w:line="400" w:lineRule="exac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4.南京奥体中心要求提供的其他相关材料</w:t>
            </w:r>
          </w:p>
        </w:tc>
      </w:tr>
      <w:tr w14:paraId="5E32D020">
        <w:tblPrEx>
          <w:tblCellMar>
            <w:top w:w="0" w:type="dxa"/>
            <w:left w:w="108" w:type="dxa"/>
            <w:bottom w:w="0" w:type="dxa"/>
            <w:right w:w="108" w:type="dxa"/>
          </w:tblCellMar>
        </w:tblPrEx>
        <w:trPr>
          <w:trHeight w:val="689" w:hRule="atLeast"/>
        </w:trPr>
        <w:tc>
          <w:tcPr>
            <w:tcW w:w="240" w:type="dxa"/>
            <w:vMerge w:val="continue"/>
            <w:tcBorders>
              <w:top w:val="nil"/>
              <w:left w:val="single" w:color="auto" w:sz="4" w:space="0"/>
              <w:bottom w:val="single" w:color="000000" w:sz="4" w:space="0"/>
              <w:right w:val="single" w:color="auto" w:sz="4" w:space="0"/>
            </w:tcBorders>
            <w:vAlign w:val="center"/>
          </w:tcPr>
          <w:p w14:paraId="615B3615">
            <w:pPr>
              <w:widowControl/>
              <w:spacing w:line="240" w:lineRule="exact"/>
              <w:jc w:val="left"/>
              <w:rPr>
                <w:rFonts w:ascii="方正黑体_GBK" w:hAnsi="宋体" w:eastAsia="方正黑体_GBK" w:cs="宋体"/>
                <w:bCs/>
                <w:color w:val="000000"/>
                <w:kern w:val="0"/>
                <w:sz w:val="24"/>
                <w:szCs w:val="24"/>
              </w:rPr>
            </w:pPr>
          </w:p>
        </w:tc>
        <w:tc>
          <w:tcPr>
            <w:tcW w:w="1228" w:type="dxa"/>
            <w:vMerge w:val="continue"/>
            <w:tcBorders>
              <w:top w:val="nil"/>
              <w:left w:val="single" w:color="auto" w:sz="4" w:space="0"/>
              <w:bottom w:val="single" w:color="auto" w:sz="4" w:space="0"/>
              <w:right w:val="single" w:color="auto" w:sz="4" w:space="0"/>
            </w:tcBorders>
            <w:vAlign w:val="center"/>
          </w:tcPr>
          <w:p w14:paraId="0336BFB7">
            <w:pPr>
              <w:widowControl/>
              <w:spacing w:line="400" w:lineRule="exact"/>
              <w:jc w:val="left"/>
              <w:rPr>
                <w:rFonts w:ascii="方正仿宋_GBK" w:hAnsi="宋体" w:eastAsia="方正仿宋_GBK" w:cs="宋体"/>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66657B29">
            <w:pPr>
              <w:widowControl/>
              <w:spacing w:line="400" w:lineRule="exac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三、公告期满后，南京奥体中心将会根据报名结果，确定符合条件的意向合作方</w:t>
            </w:r>
          </w:p>
        </w:tc>
      </w:tr>
      <w:tr w14:paraId="78011DCC">
        <w:tblPrEx>
          <w:tblCellMar>
            <w:top w:w="0" w:type="dxa"/>
            <w:left w:w="108" w:type="dxa"/>
            <w:bottom w:w="0" w:type="dxa"/>
            <w:right w:w="108" w:type="dxa"/>
          </w:tblCellMar>
        </w:tblPrEx>
        <w:trPr>
          <w:trHeight w:val="360" w:hRule="atLeast"/>
        </w:trPr>
        <w:tc>
          <w:tcPr>
            <w:tcW w:w="240" w:type="dxa"/>
            <w:vMerge w:val="restart"/>
            <w:tcBorders>
              <w:top w:val="nil"/>
              <w:left w:val="single" w:color="auto" w:sz="4" w:space="0"/>
              <w:right w:val="single" w:color="auto" w:sz="4" w:space="0"/>
            </w:tcBorders>
            <w:shd w:val="clear" w:color="auto" w:fill="auto"/>
            <w:vAlign w:val="center"/>
          </w:tcPr>
          <w:p w14:paraId="5E67529C">
            <w:pPr>
              <w:widowControl/>
              <w:spacing w:line="240" w:lineRule="exact"/>
              <w:jc w:val="center"/>
              <w:rPr>
                <w:rFonts w:ascii="方正黑体_GBK" w:hAnsi="宋体" w:eastAsia="方正黑体_GBK" w:cs="宋体"/>
                <w:bCs/>
                <w:kern w:val="0"/>
                <w:sz w:val="24"/>
                <w:szCs w:val="24"/>
              </w:rPr>
            </w:pPr>
            <w:r>
              <w:rPr>
                <w:rFonts w:hint="eastAsia" w:ascii="方正黑体_GBK" w:hAnsi="宋体" w:eastAsia="方正黑体_GBK" w:cs="宋体"/>
                <w:bCs/>
                <w:kern w:val="0"/>
                <w:sz w:val="24"/>
                <w:szCs w:val="24"/>
              </w:rPr>
              <w:t>项目概况</w:t>
            </w:r>
          </w:p>
        </w:tc>
        <w:tc>
          <w:tcPr>
            <w:tcW w:w="1228" w:type="dxa"/>
            <w:vMerge w:val="restart"/>
            <w:tcBorders>
              <w:top w:val="nil"/>
              <w:left w:val="single" w:color="auto" w:sz="4" w:space="0"/>
              <w:bottom w:val="nil"/>
              <w:right w:val="single" w:color="auto" w:sz="4" w:space="0"/>
            </w:tcBorders>
            <w:shd w:val="clear" w:color="auto" w:fill="auto"/>
            <w:vAlign w:val="center"/>
          </w:tcPr>
          <w:p w14:paraId="0445E24F">
            <w:pPr>
              <w:widowControl/>
              <w:spacing w:line="400" w:lineRule="exact"/>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基本属性</w:t>
            </w:r>
          </w:p>
          <w:p w14:paraId="2A544B73">
            <w:pPr>
              <w:widowControl/>
              <w:spacing w:line="400" w:lineRule="exact"/>
              <w:jc w:val="center"/>
              <w:rPr>
                <w:rFonts w:ascii="方正仿宋_GBK" w:hAnsi="宋体" w:eastAsia="方正仿宋_GBK" w:cs="宋体"/>
                <w:color w:val="000000"/>
                <w:kern w:val="0"/>
                <w:sz w:val="24"/>
                <w:szCs w:val="24"/>
              </w:rPr>
            </w:pPr>
          </w:p>
          <w:p w14:paraId="56511F01">
            <w:pPr>
              <w:widowControl/>
              <w:spacing w:line="400" w:lineRule="exact"/>
              <w:jc w:val="center"/>
              <w:rPr>
                <w:rFonts w:ascii="方正仿宋_GBK" w:hAnsi="宋体" w:eastAsia="方正仿宋_GBK" w:cs="宋体"/>
                <w:color w:val="000000"/>
                <w:kern w:val="0"/>
                <w:sz w:val="24"/>
                <w:szCs w:val="24"/>
              </w:rPr>
            </w:pPr>
          </w:p>
          <w:p w14:paraId="3CD91598">
            <w:pPr>
              <w:widowControl/>
              <w:spacing w:line="400" w:lineRule="exact"/>
              <w:jc w:val="center"/>
              <w:rPr>
                <w:rFonts w:ascii="方正仿宋_GBK" w:hAnsi="宋体" w:eastAsia="方正仿宋_GBK" w:cs="宋体"/>
                <w:color w:val="000000"/>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6F1E49C6">
            <w:pPr>
              <w:widowControl/>
              <w:spacing w:line="400" w:lineRule="exact"/>
              <w:jc w:val="lef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项目地址：南京奥体中心游泳馆一层大厅内</w:t>
            </w:r>
          </w:p>
        </w:tc>
      </w:tr>
      <w:tr w14:paraId="3CCBC659">
        <w:tblPrEx>
          <w:tblCellMar>
            <w:top w:w="0" w:type="dxa"/>
            <w:left w:w="108" w:type="dxa"/>
            <w:bottom w:w="0" w:type="dxa"/>
            <w:right w:w="108" w:type="dxa"/>
          </w:tblCellMar>
        </w:tblPrEx>
        <w:trPr>
          <w:trHeight w:val="360" w:hRule="atLeast"/>
        </w:trPr>
        <w:tc>
          <w:tcPr>
            <w:tcW w:w="240" w:type="dxa"/>
            <w:vMerge w:val="continue"/>
            <w:tcBorders>
              <w:left w:val="single" w:color="auto" w:sz="4" w:space="0"/>
              <w:right w:val="single" w:color="auto" w:sz="4" w:space="0"/>
            </w:tcBorders>
            <w:vAlign w:val="center"/>
          </w:tcPr>
          <w:p w14:paraId="5DE11877">
            <w:pPr>
              <w:widowControl/>
              <w:spacing w:line="240" w:lineRule="exact"/>
              <w:jc w:val="left"/>
              <w:rPr>
                <w:rFonts w:ascii="宋体" w:hAnsi="宋体" w:eastAsia="宋体" w:cs="宋体"/>
                <w:b/>
                <w:bCs/>
                <w:kern w:val="0"/>
                <w:sz w:val="24"/>
                <w:szCs w:val="24"/>
              </w:rPr>
            </w:pPr>
          </w:p>
        </w:tc>
        <w:tc>
          <w:tcPr>
            <w:tcW w:w="1228" w:type="dxa"/>
            <w:vMerge w:val="continue"/>
            <w:tcBorders>
              <w:top w:val="nil"/>
              <w:left w:val="single" w:color="auto" w:sz="4" w:space="0"/>
              <w:bottom w:val="nil"/>
              <w:right w:val="single" w:color="auto" w:sz="4" w:space="0"/>
            </w:tcBorders>
            <w:vAlign w:val="center"/>
          </w:tcPr>
          <w:p w14:paraId="1F7462BA">
            <w:pPr>
              <w:widowControl/>
              <w:spacing w:line="400" w:lineRule="exact"/>
              <w:jc w:val="left"/>
              <w:rPr>
                <w:rFonts w:ascii="方正仿宋_GBK" w:hAnsi="宋体" w:eastAsia="方正仿宋_GBK" w:cs="宋体"/>
                <w:color w:val="000000"/>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4EFC36B6">
            <w:pPr>
              <w:widowControl/>
              <w:spacing w:line="400" w:lineRule="exact"/>
              <w:jc w:val="lef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运营类型： 游泳装备销售</w:t>
            </w:r>
          </w:p>
        </w:tc>
      </w:tr>
      <w:tr w14:paraId="560C07A9">
        <w:tblPrEx>
          <w:tblCellMar>
            <w:top w:w="0" w:type="dxa"/>
            <w:left w:w="108" w:type="dxa"/>
            <w:bottom w:w="0" w:type="dxa"/>
            <w:right w:w="108" w:type="dxa"/>
          </w:tblCellMar>
        </w:tblPrEx>
        <w:trPr>
          <w:trHeight w:val="360" w:hRule="atLeast"/>
        </w:trPr>
        <w:tc>
          <w:tcPr>
            <w:tcW w:w="240" w:type="dxa"/>
            <w:vMerge w:val="continue"/>
            <w:tcBorders>
              <w:left w:val="single" w:color="auto" w:sz="4" w:space="0"/>
              <w:right w:val="single" w:color="auto" w:sz="4" w:space="0"/>
            </w:tcBorders>
            <w:vAlign w:val="center"/>
          </w:tcPr>
          <w:p w14:paraId="62487182">
            <w:pPr>
              <w:widowControl/>
              <w:spacing w:line="240" w:lineRule="exact"/>
              <w:jc w:val="left"/>
              <w:rPr>
                <w:rFonts w:ascii="宋体" w:hAnsi="宋体" w:eastAsia="宋体" w:cs="宋体"/>
                <w:b/>
                <w:bCs/>
                <w:kern w:val="0"/>
                <w:sz w:val="24"/>
                <w:szCs w:val="24"/>
              </w:rPr>
            </w:pPr>
          </w:p>
        </w:tc>
        <w:tc>
          <w:tcPr>
            <w:tcW w:w="1228" w:type="dxa"/>
            <w:vMerge w:val="continue"/>
            <w:tcBorders>
              <w:top w:val="nil"/>
              <w:left w:val="single" w:color="auto" w:sz="4" w:space="0"/>
              <w:bottom w:val="nil"/>
              <w:right w:val="single" w:color="auto" w:sz="4" w:space="0"/>
            </w:tcBorders>
            <w:vAlign w:val="center"/>
          </w:tcPr>
          <w:p w14:paraId="103782AA">
            <w:pPr>
              <w:widowControl/>
              <w:spacing w:line="400" w:lineRule="exact"/>
              <w:jc w:val="left"/>
              <w:rPr>
                <w:rFonts w:ascii="方正仿宋_GBK" w:hAnsi="宋体" w:eastAsia="方正仿宋_GBK" w:cs="宋体"/>
                <w:color w:val="000000"/>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5A230BFB">
            <w:pPr>
              <w:widowControl/>
              <w:spacing w:line="400" w:lineRule="exact"/>
              <w:jc w:val="lef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甲方：南京奥体中心经营管理有限公司</w:t>
            </w:r>
          </w:p>
          <w:p w14:paraId="3C9C5F97">
            <w:pPr>
              <w:widowControl/>
              <w:spacing w:line="400" w:lineRule="exact"/>
              <w:jc w:val="lef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乙方：合作运营方</w:t>
            </w:r>
          </w:p>
        </w:tc>
      </w:tr>
      <w:tr w14:paraId="53990FEA">
        <w:tblPrEx>
          <w:tblCellMar>
            <w:top w:w="0" w:type="dxa"/>
            <w:left w:w="108" w:type="dxa"/>
            <w:bottom w:w="0" w:type="dxa"/>
            <w:right w:w="108" w:type="dxa"/>
          </w:tblCellMar>
        </w:tblPrEx>
        <w:trPr>
          <w:trHeight w:val="360" w:hRule="atLeast"/>
        </w:trPr>
        <w:tc>
          <w:tcPr>
            <w:tcW w:w="240" w:type="dxa"/>
            <w:vMerge w:val="continue"/>
            <w:tcBorders>
              <w:left w:val="single" w:color="auto" w:sz="4" w:space="0"/>
              <w:right w:val="single" w:color="auto" w:sz="4" w:space="0"/>
            </w:tcBorders>
            <w:vAlign w:val="center"/>
          </w:tcPr>
          <w:p w14:paraId="70852330">
            <w:pPr>
              <w:widowControl/>
              <w:spacing w:line="240" w:lineRule="exact"/>
              <w:jc w:val="left"/>
              <w:rPr>
                <w:rFonts w:ascii="宋体" w:hAnsi="宋体" w:eastAsia="宋体" w:cs="宋体"/>
                <w:b/>
                <w:bCs/>
                <w:kern w:val="0"/>
                <w:sz w:val="24"/>
                <w:szCs w:val="24"/>
              </w:rPr>
            </w:pPr>
          </w:p>
        </w:tc>
        <w:tc>
          <w:tcPr>
            <w:tcW w:w="1228" w:type="dxa"/>
            <w:vMerge w:val="continue"/>
            <w:tcBorders>
              <w:top w:val="nil"/>
              <w:left w:val="single" w:color="auto" w:sz="4" w:space="0"/>
              <w:bottom w:val="nil"/>
              <w:right w:val="single" w:color="auto" w:sz="4" w:space="0"/>
            </w:tcBorders>
            <w:vAlign w:val="center"/>
          </w:tcPr>
          <w:p w14:paraId="3EA3E6FE">
            <w:pPr>
              <w:widowControl/>
              <w:spacing w:line="400" w:lineRule="exact"/>
              <w:jc w:val="left"/>
              <w:rPr>
                <w:rFonts w:ascii="方正仿宋_GBK" w:hAnsi="宋体" w:eastAsia="方正仿宋_GBK" w:cs="宋体"/>
                <w:color w:val="000000"/>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30E1702C">
            <w:pPr>
              <w:widowControl/>
              <w:spacing w:line="400" w:lineRule="exact"/>
              <w:jc w:val="lef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场地面积（m</w:t>
            </w:r>
            <w:r>
              <w:rPr>
                <w:rFonts w:ascii="Cambria" w:hAnsi="Cambria" w:eastAsia="方正仿宋_GBK" w:cs="Cambria"/>
                <w:color w:val="000000"/>
                <w:kern w:val="0"/>
                <w:sz w:val="24"/>
                <w:szCs w:val="24"/>
              </w:rPr>
              <w:t>²</w:t>
            </w:r>
            <w:r>
              <w:rPr>
                <w:rFonts w:hint="eastAsia" w:ascii="方正仿宋_GBK" w:hAnsi="方正仿宋_GBK" w:eastAsia="方正仿宋_GBK" w:cs="方正仿宋_GBK"/>
                <w:color w:val="000000"/>
                <w:kern w:val="0"/>
                <w:sz w:val="24"/>
                <w:szCs w:val="24"/>
              </w:rPr>
              <w:t>）：约</w:t>
            </w:r>
            <w:r>
              <w:rPr>
                <w:rFonts w:hint="eastAsia" w:ascii="方正仿宋_GBK" w:hAnsi="宋体" w:eastAsia="方正仿宋_GBK" w:cs="宋体"/>
                <w:color w:val="000000"/>
                <w:kern w:val="0"/>
                <w:sz w:val="24"/>
                <w:szCs w:val="24"/>
              </w:rPr>
              <w:t>32</w:t>
            </w:r>
          </w:p>
        </w:tc>
      </w:tr>
      <w:tr w14:paraId="38ABBFD8">
        <w:tblPrEx>
          <w:tblCellMar>
            <w:top w:w="0" w:type="dxa"/>
            <w:left w:w="108" w:type="dxa"/>
            <w:bottom w:w="0" w:type="dxa"/>
            <w:right w:w="108" w:type="dxa"/>
          </w:tblCellMar>
        </w:tblPrEx>
        <w:trPr>
          <w:trHeight w:val="360" w:hRule="atLeast"/>
        </w:trPr>
        <w:tc>
          <w:tcPr>
            <w:tcW w:w="240" w:type="dxa"/>
            <w:vMerge w:val="continue"/>
            <w:tcBorders>
              <w:left w:val="single" w:color="auto" w:sz="4" w:space="0"/>
              <w:right w:val="single" w:color="auto" w:sz="4" w:space="0"/>
            </w:tcBorders>
            <w:vAlign w:val="center"/>
          </w:tcPr>
          <w:p w14:paraId="32046C3C">
            <w:pPr>
              <w:widowControl/>
              <w:spacing w:line="240" w:lineRule="exact"/>
              <w:jc w:val="left"/>
              <w:rPr>
                <w:rFonts w:ascii="宋体" w:hAnsi="宋体" w:eastAsia="宋体" w:cs="宋体"/>
                <w:b/>
                <w:bCs/>
                <w:kern w:val="0"/>
                <w:sz w:val="24"/>
                <w:szCs w:val="24"/>
              </w:rPr>
            </w:pPr>
          </w:p>
        </w:tc>
        <w:tc>
          <w:tcPr>
            <w:tcW w:w="1228" w:type="dxa"/>
            <w:vMerge w:val="restart"/>
            <w:tcBorders>
              <w:top w:val="nil"/>
              <w:left w:val="single" w:color="auto" w:sz="4" w:space="0"/>
              <w:right w:val="single" w:color="auto" w:sz="4" w:space="0"/>
            </w:tcBorders>
            <w:shd w:val="clear" w:color="auto" w:fill="auto"/>
            <w:vAlign w:val="center"/>
          </w:tcPr>
          <w:p w14:paraId="6EB906AC">
            <w:pPr>
              <w:widowControl/>
              <w:spacing w:line="400" w:lineRule="exact"/>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合作方式</w:t>
            </w:r>
          </w:p>
        </w:tc>
        <w:tc>
          <w:tcPr>
            <w:tcW w:w="7156" w:type="dxa"/>
            <w:tcBorders>
              <w:top w:val="nil"/>
              <w:left w:val="nil"/>
              <w:bottom w:val="single" w:color="auto" w:sz="4" w:space="0"/>
              <w:right w:val="single" w:color="auto" w:sz="4" w:space="0"/>
            </w:tcBorders>
            <w:shd w:val="clear" w:color="auto" w:fill="auto"/>
            <w:vAlign w:val="center"/>
          </w:tcPr>
          <w:p w14:paraId="4B41DC42">
            <w:pPr>
              <w:widowControl/>
              <w:spacing w:line="400" w:lineRule="exact"/>
              <w:jc w:val="lef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合作期限（年）：5</w:t>
            </w:r>
          </w:p>
        </w:tc>
      </w:tr>
      <w:tr w14:paraId="4D245FF6">
        <w:tblPrEx>
          <w:tblCellMar>
            <w:top w:w="0" w:type="dxa"/>
            <w:left w:w="108" w:type="dxa"/>
            <w:bottom w:w="0" w:type="dxa"/>
            <w:right w:w="108" w:type="dxa"/>
          </w:tblCellMar>
        </w:tblPrEx>
        <w:trPr>
          <w:trHeight w:val="360" w:hRule="atLeast"/>
        </w:trPr>
        <w:tc>
          <w:tcPr>
            <w:tcW w:w="240" w:type="dxa"/>
            <w:vMerge w:val="continue"/>
            <w:tcBorders>
              <w:left w:val="single" w:color="auto" w:sz="4" w:space="0"/>
              <w:right w:val="single" w:color="auto" w:sz="4" w:space="0"/>
            </w:tcBorders>
            <w:vAlign w:val="center"/>
          </w:tcPr>
          <w:p w14:paraId="2FEBA294">
            <w:pPr>
              <w:widowControl/>
              <w:spacing w:line="240" w:lineRule="exact"/>
              <w:jc w:val="left"/>
              <w:rPr>
                <w:rFonts w:ascii="宋体" w:hAnsi="宋体" w:eastAsia="宋体" w:cs="宋体"/>
                <w:b/>
                <w:bCs/>
                <w:kern w:val="0"/>
                <w:sz w:val="24"/>
                <w:szCs w:val="24"/>
              </w:rPr>
            </w:pPr>
          </w:p>
        </w:tc>
        <w:tc>
          <w:tcPr>
            <w:tcW w:w="1228" w:type="dxa"/>
            <w:vMerge w:val="continue"/>
            <w:tcBorders>
              <w:left w:val="single" w:color="auto" w:sz="4" w:space="0"/>
              <w:right w:val="single" w:color="auto" w:sz="4" w:space="0"/>
            </w:tcBorders>
            <w:vAlign w:val="center"/>
          </w:tcPr>
          <w:p w14:paraId="7DC8CAD3">
            <w:pPr>
              <w:widowControl/>
              <w:spacing w:line="400" w:lineRule="exact"/>
              <w:jc w:val="left"/>
              <w:rPr>
                <w:rFonts w:ascii="方正仿宋_GBK" w:hAnsi="宋体" w:eastAsia="方正仿宋_GBK" w:cs="宋体"/>
                <w:color w:val="000000"/>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1B19F04C">
            <w:pPr>
              <w:widowControl/>
              <w:spacing w:line="400" w:lineRule="exact"/>
              <w:jc w:val="lef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经营模式：合作运营</w:t>
            </w:r>
          </w:p>
        </w:tc>
      </w:tr>
      <w:tr w14:paraId="49E3802A">
        <w:tblPrEx>
          <w:tblCellMar>
            <w:top w:w="0" w:type="dxa"/>
            <w:left w:w="108" w:type="dxa"/>
            <w:bottom w:w="0" w:type="dxa"/>
            <w:right w:w="108" w:type="dxa"/>
          </w:tblCellMar>
        </w:tblPrEx>
        <w:trPr>
          <w:trHeight w:val="360" w:hRule="atLeast"/>
        </w:trPr>
        <w:tc>
          <w:tcPr>
            <w:tcW w:w="240" w:type="dxa"/>
            <w:vMerge w:val="continue"/>
            <w:tcBorders>
              <w:left w:val="single" w:color="auto" w:sz="4" w:space="0"/>
              <w:right w:val="single" w:color="auto" w:sz="4" w:space="0"/>
            </w:tcBorders>
            <w:vAlign w:val="center"/>
          </w:tcPr>
          <w:p w14:paraId="07823DBB">
            <w:pPr>
              <w:widowControl/>
              <w:spacing w:line="240" w:lineRule="exact"/>
              <w:jc w:val="left"/>
              <w:rPr>
                <w:rFonts w:ascii="宋体" w:hAnsi="宋体" w:eastAsia="宋体" w:cs="宋体"/>
                <w:b/>
                <w:bCs/>
                <w:kern w:val="0"/>
                <w:sz w:val="24"/>
                <w:szCs w:val="24"/>
              </w:rPr>
            </w:pPr>
          </w:p>
        </w:tc>
        <w:tc>
          <w:tcPr>
            <w:tcW w:w="1228" w:type="dxa"/>
            <w:vMerge w:val="continue"/>
            <w:tcBorders>
              <w:left w:val="single" w:color="auto" w:sz="4" w:space="0"/>
              <w:right w:val="single" w:color="auto" w:sz="4" w:space="0"/>
            </w:tcBorders>
            <w:vAlign w:val="center"/>
          </w:tcPr>
          <w:p w14:paraId="2A86EED9">
            <w:pPr>
              <w:widowControl/>
              <w:spacing w:line="400" w:lineRule="exact"/>
              <w:jc w:val="left"/>
              <w:rPr>
                <w:rFonts w:ascii="方正仿宋_GBK" w:hAnsi="宋体" w:eastAsia="方正仿宋_GBK" w:cs="宋体"/>
                <w:color w:val="000000"/>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1585D25A">
            <w:pPr>
              <w:widowControl/>
              <w:spacing w:line="400" w:lineRule="exact"/>
              <w:jc w:val="lef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合作分配：保底收入+分成</w:t>
            </w:r>
          </w:p>
        </w:tc>
      </w:tr>
      <w:tr w14:paraId="06F60E25">
        <w:tblPrEx>
          <w:tblCellMar>
            <w:top w:w="0" w:type="dxa"/>
            <w:left w:w="108" w:type="dxa"/>
            <w:bottom w:w="0" w:type="dxa"/>
            <w:right w:w="108" w:type="dxa"/>
          </w:tblCellMar>
        </w:tblPrEx>
        <w:trPr>
          <w:trHeight w:val="862" w:hRule="atLeast"/>
        </w:trPr>
        <w:tc>
          <w:tcPr>
            <w:tcW w:w="240" w:type="dxa"/>
            <w:vMerge w:val="continue"/>
            <w:tcBorders>
              <w:left w:val="single" w:color="auto" w:sz="4" w:space="0"/>
              <w:right w:val="single" w:color="auto" w:sz="4" w:space="0"/>
            </w:tcBorders>
            <w:vAlign w:val="center"/>
          </w:tcPr>
          <w:p w14:paraId="37B8B150">
            <w:pPr>
              <w:widowControl/>
              <w:spacing w:line="240" w:lineRule="exact"/>
              <w:jc w:val="left"/>
              <w:rPr>
                <w:rFonts w:ascii="宋体" w:hAnsi="宋体" w:eastAsia="宋体" w:cs="宋体"/>
                <w:b/>
                <w:bCs/>
                <w:kern w:val="0"/>
                <w:sz w:val="24"/>
                <w:szCs w:val="24"/>
              </w:rPr>
            </w:pPr>
          </w:p>
        </w:tc>
        <w:tc>
          <w:tcPr>
            <w:tcW w:w="1228" w:type="dxa"/>
            <w:vMerge w:val="continue"/>
            <w:tcBorders>
              <w:left w:val="single" w:color="auto" w:sz="4" w:space="0"/>
              <w:right w:val="single" w:color="auto" w:sz="4" w:space="0"/>
            </w:tcBorders>
            <w:vAlign w:val="center"/>
          </w:tcPr>
          <w:p w14:paraId="43770CAD">
            <w:pPr>
              <w:widowControl/>
              <w:spacing w:line="400" w:lineRule="exact"/>
              <w:jc w:val="left"/>
              <w:rPr>
                <w:rFonts w:ascii="方正仿宋_GBK" w:hAnsi="宋体" w:eastAsia="方正仿宋_GBK" w:cs="宋体"/>
                <w:color w:val="000000"/>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492E0EAE">
            <w:pPr>
              <w:widowControl/>
              <w:spacing w:line="400" w:lineRule="exact"/>
              <w:jc w:val="lef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保底金额：协议期内南京奥体中心经营管理有限公司每年保底收入10万元。</w:t>
            </w:r>
          </w:p>
        </w:tc>
      </w:tr>
      <w:tr w14:paraId="3F8389EC">
        <w:tblPrEx>
          <w:tblCellMar>
            <w:top w:w="0" w:type="dxa"/>
            <w:left w:w="108" w:type="dxa"/>
            <w:bottom w:w="0" w:type="dxa"/>
            <w:right w:w="108" w:type="dxa"/>
          </w:tblCellMar>
        </w:tblPrEx>
        <w:trPr>
          <w:trHeight w:val="1883" w:hRule="atLeast"/>
        </w:trPr>
        <w:tc>
          <w:tcPr>
            <w:tcW w:w="240" w:type="dxa"/>
            <w:vMerge w:val="continue"/>
            <w:tcBorders>
              <w:left w:val="single" w:color="auto" w:sz="4" w:space="0"/>
              <w:right w:val="single" w:color="auto" w:sz="4" w:space="0"/>
            </w:tcBorders>
            <w:vAlign w:val="center"/>
          </w:tcPr>
          <w:p w14:paraId="28894842">
            <w:pPr>
              <w:widowControl/>
              <w:spacing w:line="240" w:lineRule="exact"/>
              <w:jc w:val="left"/>
              <w:rPr>
                <w:rFonts w:ascii="宋体" w:hAnsi="宋体" w:eastAsia="宋体" w:cs="宋体"/>
                <w:b/>
                <w:bCs/>
                <w:kern w:val="0"/>
                <w:sz w:val="24"/>
                <w:szCs w:val="24"/>
              </w:rPr>
            </w:pPr>
          </w:p>
        </w:tc>
        <w:tc>
          <w:tcPr>
            <w:tcW w:w="1228" w:type="dxa"/>
            <w:vMerge w:val="continue"/>
            <w:tcBorders>
              <w:left w:val="single" w:color="auto" w:sz="4" w:space="0"/>
              <w:right w:val="single" w:color="auto" w:sz="4" w:space="0"/>
            </w:tcBorders>
            <w:vAlign w:val="center"/>
          </w:tcPr>
          <w:p w14:paraId="35A5C2E6">
            <w:pPr>
              <w:widowControl/>
              <w:spacing w:line="400" w:lineRule="exact"/>
              <w:jc w:val="left"/>
              <w:rPr>
                <w:rFonts w:ascii="方正仿宋_GBK" w:hAnsi="宋体" w:eastAsia="方正仿宋_GBK" w:cs="宋体"/>
                <w:color w:val="000000"/>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678B8A9B">
            <w:pPr>
              <w:spacing w:line="400" w:lineRule="exact"/>
              <w:ind w:firstLine="547" w:firstLineChars="228"/>
              <w:rPr>
                <w:rFonts w:ascii="方正仿宋_GBK" w:eastAsia="方正仿宋_GBK"/>
                <w:sz w:val="24"/>
                <w:szCs w:val="24"/>
              </w:rPr>
            </w:pPr>
            <w:r>
              <w:rPr>
                <w:rFonts w:hint="eastAsia" w:ascii="方正仿宋_GBK" w:hAnsi="宋体" w:eastAsia="方正仿宋_GBK" w:cs="宋体"/>
                <w:color w:val="000000"/>
                <w:kern w:val="0"/>
                <w:sz w:val="24"/>
                <w:szCs w:val="24"/>
              </w:rPr>
              <w:t>分成比例：协议期内按收取的营业收入（税后）作为分配款，</w:t>
            </w:r>
            <w:r>
              <w:rPr>
                <w:rFonts w:hint="eastAsia" w:ascii="方正仿宋_GBK" w:hAnsi="宋体" w:eastAsia="方正仿宋_GBK" w:cs="宋体"/>
                <w:sz w:val="24"/>
                <w:szCs w:val="24"/>
              </w:rPr>
              <w:t>合作项目年分配款50万元以内部分，20%归甲方所有，80%归乙方所有；年分配款50万元以上部分，收益分配款的10%归甲方所有，90%归乙方所有。</w:t>
            </w:r>
          </w:p>
        </w:tc>
      </w:tr>
      <w:tr w14:paraId="38CCFFDF">
        <w:tblPrEx>
          <w:tblCellMar>
            <w:top w:w="0" w:type="dxa"/>
            <w:left w:w="108" w:type="dxa"/>
            <w:bottom w:w="0" w:type="dxa"/>
            <w:right w:w="108" w:type="dxa"/>
          </w:tblCellMar>
        </w:tblPrEx>
        <w:trPr>
          <w:trHeight w:val="360" w:hRule="atLeast"/>
        </w:trPr>
        <w:tc>
          <w:tcPr>
            <w:tcW w:w="240" w:type="dxa"/>
            <w:vMerge w:val="continue"/>
            <w:tcBorders>
              <w:left w:val="single" w:color="auto" w:sz="4" w:space="0"/>
              <w:right w:val="single" w:color="auto" w:sz="4" w:space="0"/>
            </w:tcBorders>
            <w:shd w:val="clear" w:color="auto" w:fill="auto"/>
            <w:vAlign w:val="center"/>
          </w:tcPr>
          <w:p w14:paraId="0ED7F11B">
            <w:pPr>
              <w:widowControl/>
              <w:spacing w:line="240" w:lineRule="exact"/>
              <w:jc w:val="center"/>
              <w:rPr>
                <w:rFonts w:ascii="宋体" w:hAnsi="宋体" w:eastAsia="宋体" w:cs="宋体"/>
                <w:b/>
                <w:bCs/>
                <w:color w:val="000000"/>
                <w:kern w:val="0"/>
                <w:sz w:val="24"/>
                <w:szCs w:val="24"/>
              </w:rPr>
            </w:pPr>
          </w:p>
        </w:tc>
        <w:tc>
          <w:tcPr>
            <w:tcW w:w="1228" w:type="dxa"/>
            <w:vMerge w:val="continue"/>
            <w:tcBorders>
              <w:left w:val="single" w:color="auto" w:sz="4" w:space="0"/>
              <w:right w:val="single" w:color="auto" w:sz="4" w:space="0"/>
            </w:tcBorders>
            <w:shd w:val="clear" w:color="auto" w:fill="auto"/>
            <w:vAlign w:val="center"/>
          </w:tcPr>
          <w:p w14:paraId="0D495AE6">
            <w:pPr>
              <w:widowControl/>
              <w:spacing w:line="400" w:lineRule="exact"/>
              <w:jc w:val="center"/>
              <w:rPr>
                <w:rFonts w:ascii="方正仿宋_GBK" w:hAnsi="宋体" w:eastAsia="方正仿宋_GBK" w:cs="宋体"/>
                <w:color w:val="000000"/>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5230E4F9">
            <w:pPr>
              <w:widowControl/>
              <w:spacing w:line="400" w:lineRule="exact"/>
              <w:jc w:val="lef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合作期内，所有营业款（含预收款），须通过甲方财务系统由甲方统一收取。</w:t>
            </w:r>
          </w:p>
        </w:tc>
      </w:tr>
      <w:tr w14:paraId="20DF3CDD">
        <w:tblPrEx>
          <w:tblCellMar>
            <w:top w:w="0" w:type="dxa"/>
            <w:left w:w="108" w:type="dxa"/>
            <w:bottom w:w="0" w:type="dxa"/>
            <w:right w:w="108" w:type="dxa"/>
          </w:tblCellMar>
        </w:tblPrEx>
        <w:trPr>
          <w:trHeight w:val="360" w:hRule="atLeast"/>
        </w:trPr>
        <w:tc>
          <w:tcPr>
            <w:tcW w:w="240" w:type="dxa"/>
            <w:vMerge w:val="continue"/>
            <w:tcBorders>
              <w:left w:val="single" w:color="auto" w:sz="4" w:space="0"/>
              <w:right w:val="single" w:color="auto" w:sz="4" w:space="0"/>
            </w:tcBorders>
            <w:shd w:val="clear" w:color="auto" w:fill="auto"/>
            <w:vAlign w:val="center"/>
          </w:tcPr>
          <w:p w14:paraId="301C75D1">
            <w:pPr>
              <w:widowControl/>
              <w:spacing w:line="240" w:lineRule="exact"/>
              <w:jc w:val="center"/>
              <w:rPr>
                <w:rFonts w:ascii="宋体" w:hAnsi="宋体" w:eastAsia="宋体" w:cs="宋体"/>
                <w:b/>
                <w:bCs/>
                <w:color w:val="000000"/>
                <w:kern w:val="0"/>
                <w:sz w:val="24"/>
                <w:szCs w:val="24"/>
              </w:rPr>
            </w:pPr>
          </w:p>
        </w:tc>
        <w:tc>
          <w:tcPr>
            <w:tcW w:w="1228" w:type="dxa"/>
            <w:vMerge w:val="continue"/>
            <w:tcBorders>
              <w:left w:val="single" w:color="auto" w:sz="4" w:space="0"/>
              <w:right w:val="single" w:color="auto" w:sz="4" w:space="0"/>
            </w:tcBorders>
            <w:shd w:val="clear" w:color="auto" w:fill="auto"/>
            <w:vAlign w:val="center"/>
          </w:tcPr>
          <w:p w14:paraId="4EE0B0CF">
            <w:pPr>
              <w:widowControl/>
              <w:spacing w:line="400" w:lineRule="exact"/>
              <w:jc w:val="center"/>
              <w:rPr>
                <w:rFonts w:ascii="方正仿宋_GBK" w:hAnsi="宋体" w:eastAsia="方正仿宋_GBK" w:cs="宋体"/>
                <w:color w:val="000000"/>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1CEBE5E5">
            <w:pPr>
              <w:widowControl/>
              <w:spacing w:line="400" w:lineRule="exact"/>
              <w:jc w:val="lef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收入分配时间：</w:t>
            </w:r>
            <w:r>
              <w:rPr>
                <w:rFonts w:hint="eastAsia" w:ascii="方正仿宋_GBK" w:hAnsi="宋体" w:eastAsia="方正仿宋_GBK" w:cs="宋体"/>
                <w:color w:val="000000" w:themeColor="text1"/>
                <w:sz w:val="24"/>
                <w:szCs w:val="24"/>
                <w14:textFill>
                  <w14:solidFill>
                    <w14:schemeClr w14:val="tx1"/>
                  </w14:solidFill>
                </w14:textFill>
              </w:rPr>
              <w:t xml:space="preserve">本合同自 </w:t>
            </w:r>
            <w:r>
              <w:rPr>
                <w:rFonts w:hint="eastAsia" w:ascii="方正仿宋_GBK" w:hAnsi="宋体" w:eastAsia="方正仿宋_GBK" w:cs="宋体"/>
                <w:color w:val="000000" w:themeColor="text1"/>
                <w:sz w:val="24"/>
                <w:szCs w:val="24"/>
                <w:u w:val="single"/>
                <w14:textFill>
                  <w14:solidFill>
                    <w14:schemeClr w14:val="tx1"/>
                  </w14:solidFill>
                </w14:textFill>
              </w:rPr>
              <w:t xml:space="preserve">2026 </w:t>
            </w:r>
            <w:r>
              <w:rPr>
                <w:rFonts w:hint="eastAsia" w:ascii="方正仿宋_GBK" w:hAnsi="宋体" w:eastAsia="方正仿宋_GBK" w:cs="宋体"/>
                <w:color w:val="000000" w:themeColor="text1"/>
                <w:sz w:val="24"/>
                <w:szCs w:val="24"/>
                <w14:textFill>
                  <w14:solidFill>
                    <w14:schemeClr w14:val="tx1"/>
                  </w14:solidFill>
                </w14:textFill>
              </w:rPr>
              <w:t xml:space="preserve">年 </w:t>
            </w:r>
            <w:r>
              <w:rPr>
                <w:rFonts w:hint="eastAsia" w:ascii="方正仿宋_GBK" w:hAnsi="宋体" w:eastAsia="方正仿宋_GBK" w:cs="宋体"/>
                <w:color w:val="000000" w:themeColor="text1"/>
                <w:sz w:val="24"/>
                <w:szCs w:val="24"/>
                <w:u w:val="single"/>
                <w14:textFill>
                  <w14:solidFill>
                    <w14:schemeClr w14:val="tx1"/>
                  </w14:solidFill>
                </w14:textFill>
              </w:rPr>
              <w:t>9</w:t>
            </w:r>
            <w:r>
              <w:rPr>
                <w:rFonts w:hint="eastAsia" w:ascii="方正仿宋_GBK" w:hAnsi="宋体" w:eastAsia="方正仿宋_GBK" w:cs="宋体"/>
                <w:color w:val="000000" w:themeColor="text1"/>
                <w:sz w:val="24"/>
                <w:szCs w:val="24"/>
                <w14:textFill>
                  <w14:solidFill>
                    <w14:schemeClr w14:val="tx1"/>
                  </w14:solidFill>
                </w14:textFill>
              </w:rPr>
              <w:t>月</w:t>
            </w:r>
            <w:r>
              <w:rPr>
                <w:rFonts w:hint="eastAsia" w:ascii="方正仿宋_GBK" w:hAnsi="宋体" w:eastAsia="方正仿宋_GBK" w:cs="宋体"/>
                <w:color w:val="000000" w:themeColor="text1"/>
                <w:sz w:val="24"/>
                <w:szCs w:val="24"/>
                <w:u w:val="single"/>
                <w14:textFill>
                  <w14:solidFill>
                    <w14:schemeClr w14:val="tx1"/>
                  </w14:solidFill>
                </w14:textFill>
              </w:rPr>
              <w:t>26</w:t>
            </w:r>
            <w:r>
              <w:rPr>
                <w:rFonts w:hint="eastAsia" w:ascii="方正仿宋_GBK" w:hAnsi="宋体" w:eastAsia="方正仿宋_GBK" w:cs="宋体"/>
                <w:color w:val="000000" w:themeColor="text1"/>
                <w:sz w:val="24"/>
                <w:szCs w:val="24"/>
                <w14:textFill>
                  <w14:solidFill>
                    <w14:schemeClr w14:val="tx1"/>
                  </w14:solidFill>
                </w14:textFill>
              </w:rPr>
              <w:t>日开始计算，至次月</w:t>
            </w:r>
            <w:r>
              <w:rPr>
                <w:rFonts w:hint="eastAsia" w:ascii="方正仿宋_GBK" w:hAnsi="宋体" w:eastAsia="方正仿宋_GBK" w:cs="宋体"/>
                <w:color w:val="000000" w:themeColor="text1"/>
                <w:sz w:val="24"/>
                <w:szCs w:val="24"/>
                <w:u w:val="single"/>
                <w14:textFill>
                  <w14:solidFill>
                    <w14:schemeClr w14:val="tx1"/>
                  </w14:solidFill>
                </w14:textFill>
              </w:rPr>
              <w:t>25</w:t>
            </w:r>
            <w:r>
              <w:rPr>
                <w:rFonts w:hint="eastAsia" w:ascii="方正仿宋_GBK" w:hAnsi="宋体" w:eastAsia="方正仿宋_GBK" w:cs="宋体"/>
                <w:color w:val="000000" w:themeColor="text1"/>
                <w:sz w:val="24"/>
                <w:szCs w:val="24"/>
                <w14:textFill>
                  <w14:solidFill>
                    <w14:schemeClr w14:val="tx1"/>
                  </w14:solidFill>
                </w14:textFill>
              </w:rPr>
              <w:t xml:space="preserve">日止为一个结算月度，至次年的 </w:t>
            </w:r>
            <w:r>
              <w:rPr>
                <w:rFonts w:hint="eastAsia" w:ascii="方正仿宋_GBK" w:hAnsi="宋体" w:eastAsia="方正仿宋_GBK" w:cs="宋体"/>
                <w:color w:val="000000" w:themeColor="text1"/>
                <w:sz w:val="24"/>
                <w:szCs w:val="24"/>
                <w:u w:val="single"/>
                <w14:textFill>
                  <w14:solidFill>
                    <w14:schemeClr w14:val="tx1"/>
                  </w14:solidFill>
                </w14:textFill>
              </w:rPr>
              <w:t xml:space="preserve">9 </w:t>
            </w:r>
            <w:r>
              <w:rPr>
                <w:rFonts w:hint="eastAsia" w:ascii="方正仿宋_GBK" w:hAnsi="宋体" w:eastAsia="方正仿宋_GBK" w:cs="宋体"/>
                <w:color w:val="000000" w:themeColor="text1"/>
                <w:sz w:val="24"/>
                <w:szCs w:val="24"/>
                <w14:textFill>
                  <w14:solidFill>
                    <w14:schemeClr w14:val="tx1"/>
                  </w14:solidFill>
                </w14:textFill>
              </w:rPr>
              <w:t xml:space="preserve">月 </w:t>
            </w:r>
            <w:r>
              <w:rPr>
                <w:rFonts w:hint="eastAsia" w:ascii="方正仿宋_GBK" w:hAnsi="宋体" w:eastAsia="方正仿宋_GBK" w:cs="宋体"/>
                <w:color w:val="000000" w:themeColor="text1"/>
                <w:sz w:val="24"/>
                <w:szCs w:val="24"/>
                <w:u w:val="single"/>
                <w14:textFill>
                  <w14:solidFill>
                    <w14:schemeClr w14:val="tx1"/>
                  </w14:solidFill>
                </w14:textFill>
              </w:rPr>
              <w:t>25</w:t>
            </w:r>
            <w:r>
              <w:rPr>
                <w:rFonts w:hint="eastAsia" w:ascii="方正仿宋_GBK" w:hAnsi="宋体" w:eastAsia="方正仿宋_GBK" w:cs="宋体"/>
                <w:color w:val="000000" w:themeColor="text1"/>
                <w:sz w:val="24"/>
                <w:szCs w:val="24"/>
                <w14:textFill>
                  <w14:solidFill>
                    <w14:schemeClr w14:val="tx1"/>
                  </w14:solidFill>
                </w14:textFill>
              </w:rPr>
              <w:t>日止为一个结算年度(以下简称年度)，合同期内结算期间以此类推。</w:t>
            </w:r>
            <w:r>
              <w:rPr>
                <w:rFonts w:hint="eastAsia" w:ascii="方正仿宋_GBK" w:hAnsi="宋体" w:eastAsia="方正仿宋_GBK" w:cs="宋体"/>
                <w:sz w:val="24"/>
                <w:szCs w:val="24"/>
              </w:rPr>
              <w:t>每结算月度结束后的15个工作日内</w:t>
            </w:r>
            <w:r>
              <w:rPr>
                <w:rFonts w:hint="eastAsia" w:ascii="方正仿宋_GBK" w:hAnsi="宋体" w:eastAsia="方正仿宋_GBK" w:cs="宋体"/>
                <w:color w:val="000000"/>
                <w:kern w:val="0"/>
                <w:sz w:val="24"/>
                <w:szCs w:val="24"/>
              </w:rPr>
              <w:t>，双方进行财务结算，双方在结算单上确认并签字后（该结算单以甲方收费系统生成的消费记录为依据），甲方根据合作协议约定的分配方式及比例支付给乙方款项，乙方须先向甲方开具合法有效的等额增值税发票，乙方若迟延交付发票的，甲方可相应延迟向乙方付款，如此不视为甲方逾期支付。</w:t>
            </w:r>
          </w:p>
        </w:tc>
      </w:tr>
      <w:tr w14:paraId="7AED5470">
        <w:tblPrEx>
          <w:tblCellMar>
            <w:top w:w="0" w:type="dxa"/>
            <w:left w:w="108" w:type="dxa"/>
            <w:bottom w:w="0" w:type="dxa"/>
            <w:right w:w="108" w:type="dxa"/>
          </w:tblCellMar>
        </w:tblPrEx>
        <w:trPr>
          <w:trHeight w:val="360" w:hRule="atLeast"/>
        </w:trPr>
        <w:tc>
          <w:tcPr>
            <w:tcW w:w="240" w:type="dxa"/>
            <w:vMerge w:val="continue"/>
            <w:tcBorders>
              <w:left w:val="single" w:color="auto" w:sz="4" w:space="0"/>
              <w:bottom w:val="single" w:color="auto" w:sz="4" w:space="0"/>
              <w:right w:val="single" w:color="auto" w:sz="4" w:space="0"/>
            </w:tcBorders>
            <w:shd w:val="clear" w:color="auto" w:fill="auto"/>
            <w:vAlign w:val="center"/>
          </w:tcPr>
          <w:p w14:paraId="2CEE07E5">
            <w:pPr>
              <w:widowControl/>
              <w:spacing w:line="240" w:lineRule="exact"/>
              <w:jc w:val="center"/>
              <w:rPr>
                <w:rFonts w:ascii="宋体" w:hAnsi="宋体" w:eastAsia="宋体" w:cs="宋体"/>
                <w:b/>
                <w:bCs/>
                <w:color w:val="000000"/>
                <w:kern w:val="0"/>
                <w:sz w:val="24"/>
                <w:szCs w:val="24"/>
              </w:rPr>
            </w:pPr>
          </w:p>
        </w:tc>
        <w:tc>
          <w:tcPr>
            <w:tcW w:w="1228" w:type="dxa"/>
            <w:vMerge w:val="continue"/>
            <w:tcBorders>
              <w:left w:val="single" w:color="auto" w:sz="4" w:space="0"/>
              <w:bottom w:val="single" w:color="auto" w:sz="4" w:space="0"/>
              <w:right w:val="single" w:color="auto" w:sz="4" w:space="0"/>
            </w:tcBorders>
            <w:shd w:val="clear" w:color="auto" w:fill="auto"/>
            <w:vAlign w:val="center"/>
          </w:tcPr>
          <w:p w14:paraId="42B19C7B">
            <w:pPr>
              <w:widowControl/>
              <w:spacing w:line="400" w:lineRule="exact"/>
              <w:jc w:val="center"/>
              <w:rPr>
                <w:rFonts w:ascii="方正仿宋_GBK" w:hAnsi="宋体" w:eastAsia="方正仿宋_GBK" w:cs="宋体"/>
                <w:color w:val="000000"/>
                <w:kern w:val="0"/>
                <w:sz w:val="24"/>
                <w:szCs w:val="24"/>
              </w:rPr>
            </w:pPr>
          </w:p>
        </w:tc>
        <w:tc>
          <w:tcPr>
            <w:tcW w:w="7156" w:type="dxa"/>
            <w:tcBorders>
              <w:top w:val="nil"/>
              <w:left w:val="nil"/>
              <w:bottom w:val="single" w:color="auto" w:sz="4" w:space="0"/>
              <w:right w:val="single" w:color="auto" w:sz="4" w:space="0"/>
            </w:tcBorders>
            <w:shd w:val="clear" w:color="auto" w:fill="auto"/>
            <w:vAlign w:val="center"/>
          </w:tcPr>
          <w:p w14:paraId="32CCEEAE">
            <w:pPr>
              <w:widowControl/>
              <w:spacing w:line="400" w:lineRule="exact"/>
              <w:jc w:val="lef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乙方在协议签订前须向甲方支付履约保证金人民币¥</w:t>
            </w:r>
            <w:r>
              <w:rPr>
                <w:rFonts w:hint="eastAsia" w:ascii="方正仿宋_GBK" w:hAnsi="宋体" w:eastAsia="方正仿宋_GBK" w:cs="宋体"/>
                <w:color w:val="000000"/>
                <w:kern w:val="0"/>
                <w:sz w:val="24"/>
                <w:szCs w:val="24"/>
                <w:u w:val="single"/>
              </w:rPr>
              <w:t xml:space="preserve"> 50000</w:t>
            </w:r>
            <w:r>
              <w:rPr>
                <w:rFonts w:hint="eastAsia" w:ascii="方正仿宋_GBK" w:hAnsi="宋体" w:eastAsia="方正仿宋_GBK" w:cs="宋体"/>
                <w:color w:val="000000"/>
                <w:kern w:val="0"/>
                <w:sz w:val="24"/>
                <w:szCs w:val="24"/>
              </w:rPr>
              <w:t>元（大写：</w:t>
            </w:r>
            <w:r>
              <w:rPr>
                <w:rFonts w:hint="eastAsia" w:ascii="方正仿宋_GBK" w:hAnsi="宋体" w:eastAsia="方正仿宋_GBK" w:cs="宋体"/>
                <w:color w:val="000000"/>
                <w:kern w:val="0"/>
                <w:sz w:val="24"/>
                <w:szCs w:val="24"/>
                <w:u w:val="single"/>
              </w:rPr>
              <w:t>伍</w:t>
            </w:r>
            <w:r>
              <w:rPr>
                <w:rFonts w:hint="eastAsia" w:ascii="方正仿宋_GBK" w:hAnsi="宋体" w:eastAsia="方正仿宋_GBK" w:cs="宋体"/>
                <w:color w:val="000000"/>
                <w:kern w:val="0"/>
                <w:sz w:val="24"/>
                <w:szCs w:val="24"/>
              </w:rPr>
              <w:t>万圆）整，对于乙方违约给甲方造成的任何损失，甲方均有权直接扣除乙方支付的履约保证金。履约保证金在发生扣除或赔付后，乙方</w:t>
            </w:r>
            <w:r>
              <w:rPr>
                <w:rFonts w:hint="eastAsia" w:ascii="方正仿宋_GBK" w:hAnsi="宋体" w:eastAsia="方正仿宋_GBK" w:cs="宋体"/>
                <w:sz w:val="24"/>
                <w:szCs w:val="21"/>
              </w:rPr>
              <w:t>须在七个工作日内</w:t>
            </w:r>
            <w:r>
              <w:rPr>
                <w:rFonts w:hint="eastAsia" w:ascii="方正仿宋_GBK" w:hAnsi="宋体" w:eastAsia="方正仿宋_GBK" w:cs="宋体"/>
                <w:color w:val="000000"/>
                <w:kern w:val="0"/>
                <w:sz w:val="24"/>
                <w:szCs w:val="24"/>
              </w:rPr>
              <w:t>补齐至人民币¥</w:t>
            </w:r>
            <w:r>
              <w:rPr>
                <w:rFonts w:hint="eastAsia" w:ascii="方正仿宋_GBK" w:hAnsi="宋体" w:eastAsia="方正仿宋_GBK" w:cs="宋体"/>
                <w:color w:val="000000"/>
                <w:kern w:val="0"/>
                <w:sz w:val="24"/>
                <w:szCs w:val="24"/>
                <w:u w:val="single"/>
              </w:rPr>
              <w:t xml:space="preserve"> 50000</w:t>
            </w:r>
            <w:r>
              <w:rPr>
                <w:rFonts w:hint="eastAsia" w:ascii="方正仿宋_GBK" w:hAnsi="宋体" w:eastAsia="方正仿宋_GBK" w:cs="宋体"/>
                <w:color w:val="000000"/>
                <w:kern w:val="0"/>
                <w:sz w:val="24"/>
                <w:szCs w:val="24"/>
              </w:rPr>
              <w:t>元（大写：</w:t>
            </w:r>
            <w:r>
              <w:rPr>
                <w:rFonts w:hint="eastAsia" w:ascii="方正仿宋_GBK" w:hAnsi="宋体" w:eastAsia="方正仿宋_GBK" w:cs="宋体"/>
                <w:color w:val="000000"/>
                <w:kern w:val="0"/>
                <w:sz w:val="24"/>
                <w:szCs w:val="24"/>
                <w:u w:val="single"/>
              </w:rPr>
              <w:t>伍</w:t>
            </w:r>
            <w:r>
              <w:rPr>
                <w:rFonts w:hint="eastAsia" w:ascii="方正仿宋_GBK" w:hAnsi="宋体" w:eastAsia="方正仿宋_GBK" w:cs="宋体"/>
                <w:color w:val="000000"/>
                <w:kern w:val="0"/>
                <w:sz w:val="24"/>
                <w:szCs w:val="24"/>
              </w:rPr>
              <w:t>万圆）整，如未补齐的，甲方可从乙方应得分配款中直接扣除补齐。在本协议履行结束后，经甲方确认乙方无违约行为且也不存在其他纠纷后，于15个工作日内将履约保证金无息退还乙方。如乙方未能按约支付履约保证金，则甲方有权单方解除本协议，并追究乙方违约责任。</w:t>
            </w:r>
          </w:p>
        </w:tc>
      </w:tr>
      <w:tr w14:paraId="198F81AE">
        <w:tblPrEx>
          <w:tblCellMar>
            <w:top w:w="0" w:type="dxa"/>
            <w:left w:w="108" w:type="dxa"/>
            <w:bottom w:w="0" w:type="dxa"/>
            <w:right w:w="108" w:type="dxa"/>
          </w:tblCellMar>
        </w:tblPrEx>
        <w:trPr>
          <w:trHeight w:val="550" w:hRule="atLeast"/>
        </w:trPr>
        <w:tc>
          <w:tcPr>
            <w:tcW w:w="240" w:type="dxa"/>
            <w:vMerge w:val="restart"/>
            <w:tcBorders>
              <w:top w:val="nil"/>
              <w:left w:val="single" w:color="auto" w:sz="4" w:space="0"/>
              <w:bottom w:val="single" w:color="auto" w:sz="4" w:space="0"/>
              <w:right w:val="single" w:color="auto" w:sz="4" w:space="0"/>
            </w:tcBorders>
            <w:shd w:val="clear" w:color="auto" w:fill="auto"/>
            <w:vAlign w:val="center"/>
          </w:tcPr>
          <w:p w14:paraId="344F0232">
            <w:pPr>
              <w:widowControl/>
              <w:spacing w:line="240" w:lineRule="exact"/>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联系方式</w:t>
            </w:r>
          </w:p>
        </w:tc>
        <w:tc>
          <w:tcPr>
            <w:tcW w:w="1228" w:type="dxa"/>
            <w:tcBorders>
              <w:top w:val="nil"/>
              <w:left w:val="nil"/>
              <w:bottom w:val="single" w:color="auto" w:sz="4" w:space="0"/>
              <w:right w:val="single" w:color="auto" w:sz="4" w:space="0"/>
            </w:tcBorders>
            <w:shd w:val="clear" w:color="auto" w:fill="auto"/>
            <w:vAlign w:val="center"/>
          </w:tcPr>
          <w:p w14:paraId="5613FB60">
            <w:pPr>
              <w:widowControl/>
              <w:spacing w:line="400" w:lineRule="exact"/>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联系人</w:t>
            </w:r>
          </w:p>
        </w:tc>
        <w:tc>
          <w:tcPr>
            <w:tcW w:w="7156" w:type="dxa"/>
            <w:tcBorders>
              <w:top w:val="nil"/>
              <w:left w:val="nil"/>
              <w:bottom w:val="single" w:color="auto" w:sz="4" w:space="0"/>
              <w:right w:val="single" w:color="auto" w:sz="4" w:space="0"/>
            </w:tcBorders>
            <w:shd w:val="clear" w:color="auto" w:fill="auto"/>
            <w:vAlign w:val="center"/>
          </w:tcPr>
          <w:p w14:paraId="579F6917">
            <w:pPr>
              <w:widowControl/>
              <w:spacing w:line="400" w:lineRule="exact"/>
              <w:jc w:val="lef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衡静生</w:t>
            </w:r>
          </w:p>
        </w:tc>
      </w:tr>
      <w:tr w14:paraId="5673EBB3">
        <w:tblPrEx>
          <w:tblCellMar>
            <w:top w:w="0" w:type="dxa"/>
            <w:left w:w="108" w:type="dxa"/>
            <w:bottom w:w="0" w:type="dxa"/>
            <w:right w:w="108" w:type="dxa"/>
          </w:tblCellMar>
        </w:tblPrEx>
        <w:trPr>
          <w:trHeight w:val="550" w:hRule="atLeast"/>
        </w:trPr>
        <w:tc>
          <w:tcPr>
            <w:tcW w:w="240" w:type="dxa"/>
            <w:vMerge w:val="continue"/>
            <w:tcBorders>
              <w:top w:val="nil"/>
              <w:left w:val="single" w:color="auto" w:sz="4" w:space="0"/>
              <w:bottom w:val="single" w:color="auto" w:sz="4" w:space="0"/>
              <w:right w:val="single" w:color="auto" w:sz="4" w:space="0"/>
            </w:tcBorders>
            <w:vAlign w:val="center"/>
          </w:tcPr>
          <w:p w14:paraId="316EC063">
            <w:pPr>
              <w:widowControl/>
              <w:spacing w:line="240" w:lineRule="exact"/>
              <w:jc w:val="left"/>
              <w:rPr>
                <w:rFonts w:ascii="宋体" w:hAnsi="宋体" w:eastAsia="宋体" w:cs="宋体"/>
                <w:b/>
                <w:bCs/>
                <w:color w:val="000000"/>
                <w:kern w:val="0"/>
                <w:sz w:val="24"/>
                <w:szCs w:val="24"/>
              </w:rPr>
            </w:pPr>
          </w:p>
        </w:tc>
        <w:tc>
          <w:tcPr>
            <w:tcW w:w="1228" w:type="dxa"/>
            <w:tcBorders>
              <w:top w:val="nil"/>
              <w:left w:val="nil"/>
              <w:bottom w:val="single" w:color="auto" w:sz="4" w:space="0"/>
              <w:right w:val="single" w:color="auto" w:sz="4" w:space="0"/>
            </w:tcBorders>
            <w:shd w:val="clear" w:color="auto" w:fill="auto"/>
            <w:vAlign w:val="center"/>
          </w:tcPr>
          <w:p w14:paraId="00D75715">
            <w:pPr>
              <w:widowControl/>
              <w:spacing w:line="400" w:lineRule="exact"/>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联系电话</w:t>
            </w:r>
          </w:p>
        </w:tc>
        <w:tc>
          <w:tcPr>
            <w:tcW w:w="7156" w:type="dxa"/>
            <w:tcBorders>
              <w:top w:val="nil"/>
              <w:left w:val="nil"/>
              <w:bottom w:val="single" w:color="auto" w:sz="4" w:space="0"/>
              <w:right w:val="single" w:color="auto" w:sz="4" w:space="0"/>
            </w:tcBorders>
            <w:shd w:val="clear" w:color="auto" w:fill="auto"/>
            <w:vAlign w:val="center"/>
          </w:tcPr>
          <w:p w14:paraId="60346E2F">
            <w:pPr>
              <w:widowControl/>
              <w:spacing w:line="400" w:lineRule="exact"/>
              <w:jc w:val="lef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18061727151</w:t>
            </w:r>
          </w:p>
        </w:tc>
      </w:tr>
      <w:tr w14:paraId="59968F6A">
        <w:tblPrEx>
          <w:tblCellMar>
            <w:top w:w="0" w:type="dxa"/>
            <w:left w:w="108" w:type="dxa"/>
            <w:bottom w:w="0" w:type="dxa"/>
            <w:right w:w="108" w:type="dxa"/>
          </w:tblCellMar>
        </w:tblPrEx>
        <w:trPr>
          <w:trHeight w:val="480" w:hRule="atLeast"/>
        </w:trPr>
        <w:tc>
          <w:tcPr>
            <w:tcW w:w="240" w:type="dxa"/>
            <w:vMerge w:val="continue"/>
            <w:tcBorders>
              <w:top w:val="nil"/>
              <w:left w:val="single" w:color="auto" w:sz="4" w:space="0"/>
              <w:bottom w:val="single" w:color="auto" w:sz="4" w:space="0"/>
              <w:right w:val="single" w:color="auto" w:sz="4" w:space="0"/>
            </w:tcBorders>
            <w:vAlign w:val="center"/>
          </w:tcPr>
          <w:p w14:paraId="3826032D">
            <w:pPr>
              <w:widowControl/>
              <w:spacing w:line="240" w:lineRule="exact"/>
              <w:jc w:val="left"/>
              <w:rPr>
                <w:rFonts w:ascii="宋体" w:hAnsi="宋体" w:eastAsia="宋体" w:cs="宋体"/>
                <w:b/>
                <w:bCs/>
                <w:color w:val="000000"/>
                <w:kern w:val="0"/>
                <w:sz w:val="24"/>
                <w:szCs w:val="24"/>
              </w:rPr>
            </w:pPr>
          </w:p>
        </w:tc>
        <w:tc>
          <w:tcPr>
            <w:tcW w:w="1228" w:type="dxa"/>
            <w:tcBorders>
              <w:top w:val="nil"/>
              <w:left w:val="nil"/>
              <w:bottom w:val="single" w:color="auto" w:sz="4" w:space="0"/>
              <w:right w:val="single" w:color="auto" w:sz="4" w:space="0"/>
            </w:tcBorders>
            <w:shd w:val="clear" w:color="auto" w:fill="auto"/>
            <w:vAlign w:val="center"/>
          </w:tcPr>
          <w:p w14:paraId="2554A453">
            <w:pPr>
              <w:widowControl/>
              <w:spacing w:line="400" w:lineRule="exact"/>
              <w:jc w:val="center"/>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联系地址</w:t>
            </w:r>
          </w:p>
        </w:tc>
        <w:tc>
          <w:tcPr>
            <w:tcW w:w="7156" w:type="dxa"/>
            <w:tcBorders>
              <w:top w:val="nil"/>
              <w:left w:val="nil"/>
              <w:bottom w:val="single" w:color="auto" w:sz="4" w:space="0"/>
              <w:right w:val="single" w:color="auto" w:sz="4" w:space="0"/>
            </w:tcBorders>
            <w:shd w:val="clear" w:color="auto" w:fill="auto"/>
            <w:vAlign w:val="center"/>
          </w:tcPr>
          <w:p w14:paraId="3B30C8DD">
            <w:pPr>
              <w:widowControl/>
              <w:spacing w:line="400" w:lineRule="exact"/>
              <w:jc w:val="left"/>
              <w:rPr>
                <w:rFonts w:ascii="方正仿宋_GBK" w:hAnsi="宋体" w:eastAsia="方正仿宋_GBK" w:cs="宋体"/>
                <w:color w:val="000000"/>
                <w:kern w:val="0"/>
                <w:sz w:val="24"/>
                <w:szCs w:val="24"/>
              </w:rPr>
            </w:pPr>
            <w:r>
              <w:rPr>
                <w:rFonts w:hint="eastAsia" w:ascii="方正仿宋_GBK" w:hAnsi="宋体" w:eastAsia="方正仿宋_GBK" w:cs="宋体"/>
                <w:color w:val="000000"/>
                <w:kern w:val="0"/>
                <w:sz w:val="24"/>
                <w:szCs w:val="24"/>
              </w:rPr>
              <w:t>南京市建邺区江东中路222号奥体中心游泳馆</w:t>
            </w:r>
          </w:p>
        </w:tc>
      </w:tr>
      <w:tr w14:paraId="5E1D7F02">
        <w:tblPrEx>
          <w:tblCellMar>
            <w:top w:w="0" w:type="dxa"/>
            <w:left w:w="108" w:type="dxa"/>
            <w:bottom w:w="0" w:type="dxa"/>
            <w:right w:w="108" w:type="dxa"/>
          </w:tblCellMar>
        </w:tblPrEx>
        <w:trPr>
          <w:trHeight w:val="1097" w:hRule="atLeast"/>
        </w:trPr>
        <w:tc>
          <w:tcPr>
            <w:tcW w:w="240" w:type="dxa"/>
            <w:vMerge w:val="restart"/>
            <w:tcBorders>
              <w:top w:val="nil"/>
              <w:left w:val="single" w:color="auto" w:sz="4" w:space="0"/>
              <w:bottom w:val="single" w:color="auto" w:sz="4" w:space="0"/>
              <w:right w:val="single" w:color="auto" w:sz="4" w:space="0"/>
            </w:tcBorders>
            <w:shd w:val="clear" w:color="auto" w:fill="auto"/>
            <w:vAlign w:val="center"/>
          </w:tcPr>
          <w:p w14:paraId="0008BA24">
            <w:pPr>
              <w:widowControl/>
              <w:spacing w:line="240" w:lineRule="exact"/>
              <w:jc w:val="center"/>
              <w:rPr>
                <w:rFonts w:ascii="宋体" w:hAnsi="宋体" w:eastAsia="宋体" w:cs="宋体"/>
                <w:b/>
                <w:bCs/>
                <w:kern w:val="0"/>
                <w:sz w:val="24"/>
                <w:szCs w:val="24"/>
              </w:rPr>
            </w:pPr>
            <w:r>
              <w:rPr>
                <w:rFonts w:hint="eastAsia" w:ascii="宋体" w:hAnsi="宋体" w:eastAsia="宋体" w:cs="宋体"/>
                <w:b/>
                <w:bCs/>
                <w:kern w:val="0"/>
                <w:sz w:val="24"/>
                <w:szCs w:val="24"/>
              </w:rPr>
              <w:t>特别告知</w:t>
            </w:r>
          </w:p>
        </w:tc>
        <w:tc>
          <w:tcPr>
            <w:tcW w:w="8384" w:type="dxa"/>
            <w:gridSpan w:val="2"/>
            <w:tcBorders>
              <w:top w:val="single" w:color="auto" w:sz="4" w:space="0"/>
              <w:left w:val="nil"/>
              <w:bottom w:val="single" w:color="auto" w:sz="4" w:space="0"/>
              <w:right w:val="single" w:color="auto" w:sz="4" w:space="0"/>
            </w:tcBorders>
            <w:shd w:val="clear" w:color="auto" w:fill="auto"/>
            <w:vAlign w:val="center"/>
          </w:tcPr>
          <w:p w14:paraId="69D9A861">
            <w:pPr>
              <w:widowControl/>
              <w:spacing w:line="400" w:lineRule="exact"/>
              <w:rPr>
                <w:rFonts w:ascii="方正仿宋_GBK" w:hAnsi="宋体" w:eastAsia="方正仿宋_GBK" w:cs="宋体"/>
                <w:kern w:val="0"/>
                <w:sz w:val="24"/>
                <w:szCs w:val="24"/>
              </w:rPr>
            </w:pPr>
            <w:r>
              <w:rPr>
                <w:rFonts w:hint="eastAsia" w:ascii="方正仿宋_GBK" w:hAnsi="宋体" w:eastAsia="方正仿宋_GBK" w:cs="宋体"/>
                <w:kern w:val="0"/>
                <w:sz w:val="24"/>
                <w:szCs w:val="24"/>
              </w:rPr>
              <w:t>一、协议期从2026年9月26日起计算；南京奥体中心经营管理有限公司根据投标人投标条件综合评定得分名次，有大型场馆合作经验者优先，最高分者中标；南京奥体中心经营管理有限公司将其官网公布中标结果，不另向未中标者通知中标结果。</w:t>
            </w:r>
          </w:p>
        </w:tc>
      </w:tr>
      <w:tr w14:paraId="2D3E9107">
        <w:tblPrEx>
          <w:tblCellMar>
            <w:top w:w="0" w:type="dxa"/>
            <w:left w:w="108" w:type="dxa"/>
            <w:bottom w:w="0" w:type="dxa"/>
            <w:right w:w="108" w:type="dxa"/>
          </w:tblCellMar>
        </w:tblPrEx>
        <w:trPr>
          <w:trHeight w:val="736" w:hRule="atLeast"/>
        </w:trPr>
        <w:tc>
          <w:tcPr>
            <w:tcW w:w="240" w:type="dxa"/>
            <w:vMerge w:val="continue"/>
            <w:tcBorders>
              <w:top w:val="nil"/>
              <w:left w:val="single" w:color="auto" w:sz="4" w:space="0"/>
              <w:bottom w:val="single" w:color="auto" w:sz="4" w:space="0"/>
              <w:right w:val="single" w:color="auto" w:sz="4" w:space="0"/>
            </w:tcBorders>
            <w:vAlign w:val="center"/>
          </w:tcPr>
          <w:p w14:paraId="2C9E5B2D">
            <w:pPr>
              <w:widowControl/>
              <w:spacing w:line="240" w:lineRule="exact"/>
              <w:jc w:val="left"/>
              <w:rPr>
                <w:rFonts w:ascii="宋体" w:hAnsi="宋体" w:eastAsia="宋体" w:cs="宋体"/>
                <w:b/>
                <w:bCs/>
                <w:kern w:val="0"/>
                <w:sz w:val="24"/>
                <w:szCs w:val="24"/>
              </w:rPr>
            </w:pPr>
          </w:p>
        </w:tc>
        <w:tc>
          <w:tcPr>
            <w:tcW w:w="8384" w:type="dxa"/>
            <w:gridSpan w:val="2"/>
            <w:tcBorders>
              <w:top w:val="single" w:color="auto" w:sz="4" w:space="0"/>
              <w:left w:val="nil"/>
              <w:bottom w:val="single" w:color="auto" w:sz="4" w:space="0"/>
              <w:right w:val="single" w:color="auto" w:sz="4" w:space="0"/>
            </w:tcBorders>
            <w:shd w:val="clear" w:color="auto" w:fill="auto"/>
            <w:vAlign w:val="center"/>
          </w:tcPr>
          <w:p w14:paraId="521C92F5">
            <w:pPr>
              <w:widowControl/>
              <w:spacing w:line="400" w:lineRule="exact"/>
              <w:rPr>
                <w:rFonts w:ascii="方正仿宋_GBK" w:hAnsi="宋体" w:eastAsia="方正仿宋_GBK" w:cs="宋体"/>
                <w:kern w:val="0"/>
                <w:sz w:val="24"/>
                <w:szCs w:val="24"/>
              </w:rPr>
            </w:pPr>
            <w:r>
              <w:rPr>
                <w:rFonts w:hint="eastAsia" w:ascii="方正仿宋_GBK" w:hAnsi="宋体" w:eastAsia="方正仿宋_GBK" w:cs="宋体"/>
                <w:kern w:val="0"/>
                <w:sz w:val="24"/>
                <w:szCs w:val="24"/>
              </w:rPr>
              <w:t>二、合作方未经南京奥体中心书面同意，不得对场地擅自进行转租、分租，如合作方擅自转租、分租的，合作方应承担由此造成的一切损失，南京奥体中心经营管理有限公司有权提前解除合同、收回场地，合作方须承担违约责任。</w:t>
            </w:r>
          </w:p>
        </w:tc>
      </w:tr>
      <w:tr w14:paraId="3159F742">
        <w:tblPrEx>
          <w:tblCellMar>
            <w:top w:w="0" w:type="dxa"/>
            <w:left w:w="108" w:type="dxa"/>
            <w:bottom w:w="0" w:type="dxa"/>
            <w:right w:w="108" w:type="dxa"/>
          </w:tblCellMar>
        </w:tblPrEx>
        <w:trPr>
          <w:trHeight w:val="736" w:hRule="atLeast"/>
        </w:trPr>
        <w:tc>
          <w:tcPr>
            <w:tcW w:w="240" w:type="dxa"/>
            <w:vMerge w:val="continue"/>
            <w:tcBorders>
              <w:top w:val="nil"/>
              <w:left w:val="single" w:color="auto" w:sz="4" w:space="0"/>
              <w:bottom w:val="single" w:color="auto" w:sz="4" w:space="0"/>
              <w:right w:val="single" w:color="auto" w:sz="4" w:space="0"/>
            </w:tcBorders>
            <w:vAlign w:val="center"/>
          </w:tcPr>
          <w:p w14:paraId="544E9315">
            <w:pPr>
              <w:widowControl/>
              <w:spacing w:line="240" w:lineRule="exact"/>
              <w:jc w:val="left"/>
              <w:rPr>
                <w:rFonts w:ascii="宋体" w:hAnsi="宋体" w:eastAsia="宋体" w:cs="宋体"/>
                <w:b/>
                <w:bCs/>
                <w:kern w:val="0"/>
                <w:sz w:val="24"/>
                <w:szCs w:val="24"/>
              </w:rPr>
            </w:pPr>
          </w:p>
        </w:tc>
        <w:tc>
          <w:tcPr>
            <w:tcW w:w="8384" w:type="dxa"/>
            <w:gridSpan w:val="2"/>
            <w:tcBorders>
              <w:top w:val="single" w:color="auto" w:sz="4" w:space="0"/>
              <w:left w:val="nil"/>
              <w:bottom w:val="single" w:color="auto" w:sz="4" w:space="0"/>
              <w:right w:val="single" w:color="auto" w:sz="4" w:space="0"/>
            </w:tcBorders>
            <w:shd w:val="clear" w:color="auto" w:fill="auto"/>
            <w:vAlign w:val="center"/>
          </w:tcPr>
          <w:p w14:paraId="656D68CA">
            <w:pPr>
              <w:widowControl/>
              <w:spacing w:line="400" w:lineRule="exact"/>
              <w:rPr>
                <w:rFonts w:ascii="方正仿宋_GBK" w:hAnsi="宋体" w:eastAsia="方正仿宋_GBK" w:cs="宋体"/>
                <w:kern w:val="0"/>
                <w:sz w:val="24"/>
                <w:szCs w:val="24"/>
              </w:rPr>
            </w:pPr>
            <w:r>
              <w:rPr>
                <w:rFonts w:hint="eastAsia" w:ascii="方正仿宋_GBK" w:hAnsi="宋体" w:eastAsia="方正仿宋_GBK" w:cs="宋体"/>
                <w:kern w:val="0"/>
                <w:sz w:val="24"/>
                <w:szCs w:val="24"/>
              </w:rPr>
              <w:t>三、合作方应接受场地现状，并负责市场监督管理局、消防、安检等手续办理；合作方不能以该现状影响其工商、消防、安检等手续办理，致使不能按预想方案使用场地为由，要求解除、变更《合作协议》或要求南京奥体中心经营管理有限公司承担违约赔偿责任。</w:t>
            </w:r>
          </w:p>
        </w:tc>
      </w:tr>
      <w:tr w14:paraId="0B59531C">
        <w:tblPrEx>
          <w:tblCellMar>
            <w:top w:w="0" w:type="dxa"/>
            <w:left w:w="108" w:type="dxa"/>
            <w:bottom w:w="0" w:type="dxa"/>
            <w:right w:w="108" w:type="dxa"/>
          </w:tblCellMar>
        </w:tblPrEx>
        <w:trPr>
          <w:trHeight w:val="800" w:hRule="atLeast"/>
        </w:trPr>
        <w:tc>
          <w:tcPr>
            <w:tcW w:w="240" w:type="dxa"/>
            <w:vMerge w:val="continue"/>
            <w:tcBorders>
              <w:top w:val="nil"/>
              <w:left w:val="single" w:color="auto" w:sz="4" w:space="0"/>
              <w:bottom w:val="single" w:color="auto" w:sz="4" w:space="0"/>
              <w:right w:val="single" w:color="auto" w:sz="4" w:space="0"/>
            </w:tcBorders>
            <w:vAlign w:val="center"/>
          </w:tcPr>
          <w:p w14:paraId="636F6BB4">
            <w:pPr>
              <w:widowControl/>
              <w:spacing w:line="240" w:lineRule="exact"/>
              <w:jc w:val="left"/>
              <w:rPr>
                <w:rFonts w:ascii="宋体" w:hAnsi="宋体" w:eastAsia="宋体" w:cs="宋体"/>
                <w:b/>
                <w:bCs/>
                <w:kern w:val="0"/>
                <w:sz w:val="24"/>
                <w:szCs w:val="24"/>
              </w:rPr>
            </w:pPr>
          </w:p>
        </w:tc>
        <w:tc>
          <w:tcPr>
            <w:tcW w:w="8384" w:type="dxa"/>
            <w:gridSpan w:val="2"/>
            <w:tcBorders>
              <w:top w:val="single" w:color="auto" w:sz="4" w:space="0"/>
              <w:left w:val="nil"/>
              <w:bottom w:val="single" w:color="auto" w:sz="4" w:space="0"/>
              <w:right w:val="single" w:color="auto" w:sz="4" w:space="0"/>
            </w:tcBorders>
            <w:shd w:val="clear" w:color="auto" w:fill="auto"/>
            <w:vAlign w:val="center"/>
          </w:tcPr>
          <w:p w14:paraId="4483B23B">
            <w:pPr>
              <w:widowControl/>
              <w:spacing w:line="400" w:lineRule="exact"/>
              <w:rPr>
                <w:rFonts w:ascii="方正仿宋_GBK" w:hAnsi="宋体" w:eastAsia="方正仿宋_GBK" w:cs="宋体"/>
                <w:kern w:val="0"/>
                <w:sz w:val="24"/>
                <w:szCs w:val="24"/>
              </w:rPr>
            </w:pPr>
            <w:r>
              <w:rPr>
                <w:rFonts w:hint="eastAsia" w:ascii="方正仿宋_GBK" w:hAnsi="宋体" w:eastAsia="方正仿宋_GBK" w:cs="宋体"/>
                <w:kern w:val="0"/>
                <w:sz w:val="24"/>
                <w:szCs w:val="24"/>
              </w:rPr>
              <w:t>四、合作方如对场地进行改造，须经南京奥体中心经营管理有限公司书面同意，费用由合作方自行承担，且装修改造须与租期相适应。</w:t>
            </w:r>
          </w:p>
        </w:tc>
      </w:tr>
      <w:tr w14:paraId="796E8DDD">
        <w:tblPrEx>
          <w:tblCellMar>
            <w:top w:w="0" w:type="dxa"/>
            <w:left w:w="108" w:type="dxa"/>
            <w:bottom w:w="0" w:type="dxa"/>
            <w:right w:w="108" w:type="dxa"/>
          </w:tblCellMar>
        </w:tblPrEx>
        <w:trPr>
          <w:trHeight w:val="550" w:hRule="atLeast"/>
        </w:trPr>
        <w:tc>
          <w:tcPr>
            <w:tcW w:w="240" w:type="dxa"/>
            <w:vMerge w:val="continue"/>
            <w:tcBorders>
              <w:top w:val="nil"/>
              <w:left w:val="single" w:color="auto" w:sz="4" w:space="0"/>
              <w:bottom w:val="single" w:color="auto" w:sz="4" w:space="0"/>
              <w:right w:val="single" w:color="auto" w:sz="4" w:space="0"/>
            </w:tcBorders>
            <w:vAlign w:val="center"/>
          </w:tcPr>
          <w:p w14:paraId="7CD60C32">
            <w:pPr>
              <w:widowControl/>
              <w:spacing w:line="240" w:lineRule="exact"/>
              <w:jc w:val="left"/>
              <w:rPr>
                <w:rFonts w:ascii="宋体" w:hAnsi="宋体" w:eastAsia="宋体" w:cs="宋体"/>
                <w:b/>
                <w:bCs/>
                <w:kern w:val="0"/>
                <w:sz w:val="24"/>
                <w:szCs w:val="24"/>
              </w:rPr>
            </w:pPr>
          </w:p>
        </w:tc>
        <w:tc>
          <w:tcPr>
            <w:tcW w:w="8384" w:type="dxa"/>
            <w:gridSpan w:val="2"/>
            <w:tcBorders>
              <w:top w:val="single" w:color="auto" w:sz="4" w:space="0"/>
              <w:left w:val="nil"/>
              <w:bottom w:val="single" w:color="auto" w:sz="4" w:space="0"/>
              <w:right w:val="single" w:color="auto" w:sz="4" w:space="0"/>
            </w:tcBorders>
            <w:shd w:val="clear" w:color="auto" w:fill="auto"/>
            <w:vAlign w:val="center"/>
          </w:tcPr>
          <w:p w14:paraId="3A9ECEC1">
            <w:pPr>
              <w:widowControl/>
              <w:spacing w:line="400" w:lineRule="exact"/>
              <w:rPr>
                <w:rFonts w:ascii="方正仿宋_GBK" w:hAnsi="宋体" w:eastAsia="方正仿宋_GBK" w:cs="宋体"/>
                <w:kern w:val="0"/>
                <w:sz w:val="24"/>
                <w:szCs w:val="24"/>
              </w:rPr>
            </w:pPr>
            <w:r>
              <w:rPr>
                <w:rFonts w:hint="eastAsia" w:ascii="方正仿宋_GBK" w:hAnsi="宋体" w:eastAsia="方正仿宋_GBK" w:cs="宋体"/>
                <w:kern w:val="0"/>
                <w:sz w:val="24"/>
                <w:szCs w:val="24"/>
              </w:rPr>
              <w:t>五、合作方所有营业收入由南京奥体中心经营管理有限公司统一收取。</w:t>
            </w:r>
          </w:p>
        </w:tc>
      </w:tr>
      <w:tr w14:paraId="2D43C0FD">
        <w:tblPrEx>
          <w:tblCellMar>
            <w:top w:w="0" w:type="dxa"/>
            <w:left w:w="108" w:type="dxa"/>
            <w:bottom w:w="0" w:type="dxa"/>
            <w:right w:w="108" w:type="dxa"/>
          </w:tblCellMar>
        </w:tblPrEx>
        <w:trPr>
          <w:trHeight w:val="358" w:hRule="atLeast"/>
        </w:trPr>
        <w:tc>
          <w:tcPr>
            <w:tcW w:w="240" w:type="dxa"/>
            <w:vMerge w:val="continue"/>
            <w:tcBorders>
              <w:top w:val="nil"/>
              <w:left w:val="single" w:color="auto" w:sz="4" w:space="0"/>
              <w:bottom w:val="single" w:color="auto" w:sz="4" w:space="0"/>
              <w:right w:val="single" w:color="auto" w:sz="4" w:space="0"/>
            </w:tcBorders>
            <w:vAlign w:val="center"/>
          </w:tcPr>
          <w:p w14:paraId="214549A1">
            <w:pPr>
              <w:widowControl/>
              <w:spacing w:line="240" w:lineRule="exact"/>
              <w:jc w:val="left"/>
              <w:rPr>
                <w:rFonts w:ascii="宋体" w:hAnsi="宋体" w:eastAsia="宋体" w:cs="宋体"/>
                <w:b/>
                <w:bCs/>
                <w:kern w:val="0"/>
                <w:sz w:val="24"/>
                <w:szCs w:val="24"/>
              </w:rPr>
            </w:pPr>
          </w:p>
        </w:tc>
        <w:tc>
          <w:tcPr>
            <w:tcW w:w="8384" w:type="dxa"/>
            <w:gridSpan w:val="2"/>
            <w:tcBorders>
              <w:top w:val="single" w:color="auto" w:sz="4" w:space="0"/>
              <w:left w:val="nil"/>
              <w:bottom w:val="single" w:color="auto" w:sz="4" w:space="0"/>
              <w:right w:val="single" w:color="000000" w:sz="4" w:space="0"/>
            </w:tcBorders>
            <w:shd w:val="clear" w:color="auto" w:fill="auto"/>
            <w:vAlign w:val="center"/>
          </w:tcPr>
          <w:p w14:paraId="7A266027">
            <w:pPr>
              <w:widowControl/>
              <w:spacing w:line="400" w:lineRule="exact"/>
              <w:jc w:val="left"/>
              <w:rPr>
                <w:rFonts w:ascii="方正仿宋_GBK" w:hAnsi="宋体" w:eastAsia="方正仿宋_GBK" w:cs="宋体"/>
                <w:kern w:val="0"/>
                <w:sz w:val="24"/>
                <w:szCs w:val="24"/>
              </w:rPr>
            </w:pPr>
            <w:r>
              <w:rPr>
                <w:rFonts w:hint="eastAsia" w:ascii="方正仿宋_GBK" w:hAnsi="宋体" w:eastAsia="方正仿宋_GBK" w:cs="宋体"/>
                <w:kern w:val="0"/>
                <w:sz w:val="24"/>
                <w:szCs w:val="24"/>
              </w:rPr>
              <w:t>六、合作方对场地使用须符合国家法律法规和当地规章的规定；本公告仅为本次招募的简要说明，意向合作方在做出申请合作决定之前，应仔细了解场地实际情况。</w:t>
            </w:r>
          </w:p>
        </w:tc>
      </w:tr>
      <w:tr w14:paraId="78764E20">
        <w:tblPrEx>
          <w:tblCellMar>
            <w:top w:w="0" w:type="dxa"/>
            <w:left w:w="108" w:type="dxa"/>
            <w:bottom w:w="0" w:type="dxa"/>
            <w:right w:w="108" w:type="dxa"/>
          </w:tblCellMar>
        </w:tblPrEx>
        <w:trPr>
          <w:trHeight w:val="491" w:hRule="atLeast"/>
        </w:trPr>
        <w:tc>
          <w:tcPr>
            <w:tcW w:w="240" w:type="dxa"/>
            <w:vMerge w:val="continue"/>
            <w:tcBorders>
              <w:top w:val="nil"/>
              <w:left w:val="single" w:color="auto" w:sz="4" w:space="0"/>
              <w:bottom w:val="single" w:color="auto" w:sz="4" w:space="0"/>
              <w:right w:val="single" w:color="auto" w:sz="4" w:space="0"/>
            </w:tcBorders>
            <w:vAlign w:val="center"/>
          </w:tcPr>
          <w:p w14:paraId="478C0FAC">
            <w:pPr>
              <w:widowControl/>
              <w:spacing w:line="240" w:lineRule="exact"/>
              <w:jc w:val="left"/>
              <w:rPr>
                <w:rFonts w:ascii="宋体" w:hAnsi="宋体" w:eastAsia="宋体" w:cs="宋体"/>
                <w:b/>
                <w:bCs/>
                <w:kern w:val="0"/>
                <w:sz w:val="24"/>
                <w:szCs w:val="24"/>
              </w:rPr>
            </w:pPr>
          </w:p>
        </w:tc>
        <w:tc>
          <w:tcPr>
            <w:tcW w:w="8384" w:type="dxa"/>
            <w:gridSpan w:val="2"/>
            <w:tcBorders>
              <w:top w:val="single" w:color="auto" w:sz="4" w:space="0"/>
              <w:left w:val="nil"/>
              <w:bottom w:val="single" w:color="auto" w:sz="4" w:space="0"/>
              <w:right w:val="single" w:color="auto" w:sz="4" w:space="0"/>
            </w:tcBorders>
            <w:shd w:val="clear" w:color="auto" w:fill="auto"/>
            <w:vAlign w:val="center"/>
          </w:tcPr>
          <w:p w14:paraId="63421040">
            <w:pPr>
              <w:widowControl/>
              <w:spacing w:line="400" w:lineRule="exact"/>
              <w:jc w:val="left"/>
              <w:rPr>
                <w:rFonts w:ascii="方正仿宋_GBK" w:hAnsi="宋体" w:eastAsia="方正仿宋_GBK" w:cs="宋体"/>
                <w:kern w:val="0"/>
                <w:sz w:val="24"/>
                <w:szCs w:val="24"/>
              </w:rPr>
            </w:pPr>
            <w:r>
              <w:rPr>
                <w:rFonts w:hint="eastAsia" w:ascii="方正仿宋_GBK" w:hAnsi="宋体" w:eastAsia="方正仿宋_GBK" w:cs="宋体"/>
                <w:kern w:val="0"/>
                <w:sz w:val="24"/>
                <w:szCs w:val="24"/>
              </w:rPr>
              <w:t>七、未经甲方书面同意，合作方不得擅自停业或歇业。</w:t>
            </w:r>
          </w:p>
        </w:tc>
      </w:tr>
    </w:tbl>
    <w:p w14:paraId="737EC3A6">
      <w:pPr>
        <w:spacing w:line="240" w:lineRule="exact"/>
      </w:pPr>
    </w:p>
    <w:sectPr>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A4366A86-3240-4686-B0AC-52F7E914A4C7}"/>
  </w:font>
  <w:font w:name="方正小标宋_GBK">
    <w:panose1 w:val="02000000000000000000"/>
    <w:charset w:val="86"/>
    <w:family w:val="script"/>
    <w:pitch w:val="default"/>
    <w:sig w:usb0="A00002BF" w:usb1="38CF7CFA" w:usb2="00082016" w:usb3="00000000" w:csb0="00040001" w:csb1="00000000"/>
    <w:embedRegular r:id="rId2" w:fontKey="{41F5C10D-1DD0-421D-BA04-C5484AAF1062}"/>
  </w:font>
  <w:font w:name="方正黑体_GBK">
    <w:panose1 w:val="02010600010101010101"/>
    <w:charset w:val="86"/>
    <w:family w:val="script"/>
    <w:pitch w:val="default"/>
    <w:sig w:usb0="00000001" w:usb1="080E0000" w:usb2="00000000" w:usb3="00000000" w:csb0="00040000" w:csb1="00000000"/>
    <w:embedRegular r:id="rId3" w:fontKey="{85F49A24-F602-4153-9C05-FB882337FA6F}"/>
  </w:font>
  <w:font w:name="方正仿宋_GBK">
    <w:panose1 w:val="02000000000000000000"/>
    <w:charset w:val="86"/>
    <w:family w:val="auto"/>
    <w:pitch w:val="default"/>
    <w:sig w:usb0="A00002BF" w:usb1="38CF7CFA" w:usb2="00082016" w:usb3="00000000" w:csb0="00040001" w:csb1="00000000"/>
    <w:embedRegular r:id="rId4" w:fontKey="{78A0D5D8-0598-4690-B275-C832EF41F9A1}"/>
  </w:font>
  <w:font w:name="Cambria">
    <w:panose1 w:val="02040503050406030204"/>
    <w:charset w:val="00"/>
    <w:family w:val="roman"/>
    <w:pitch w:val="default"/>
    <w:sig w:usb0="E00006FF" w:usb1="420024FF" w:usb2="02000000" w:usb3="00000000" w:csb0="2000019F" w:csb1="00000000"/>
    <w:embedRegular r:id="rId5" w:fontKey="{53A92248-204D-4697-96EA-753E0B7D3A2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60A"/>
    <w:rsid w:val="00042C62"/>
    <w:rsid w:val="00063F9C"/>
    <w:rsid w:val="0007415D"/>
    <w:rsid w:val="000B5AF4"/>
    <w:rsid w:val="00115449"/>
    <w:rsid w:val="0017130C"/>
    <w:rsid w:val="0019676F"/>
    <w:rsid w:val="001A0C00"/>
    <w:rsid w:val="001A0C23"/>
    <w:rsid w:val="00220259"/>
    <w:rsid w:val="0023560A"/>
    <w:rsid w:val="00276109"/>
    <w:rsid w:val="00331121"/>
    <w:rsid w:val="00345474"/>
    <w:rsid w:val="00377E0F"/>
    <w:rsid w:val="003B6098"/>
    <w:rsid w:val="003C5B43"/>
    <w:rsid w:val="003D6F76"/>
    <w:rsid w:val="003E4234"/>
    <w:rsid w:val="003E78DA"/>
    <w:rsid w:val="003F4C10"/>
    <w:rsid w:val="004A28C8"/>
    <w:rsid w:val="004F6ACD"/>
    <w:rsid w:val="005467DF"/>
    <w:rsid w:val="005746B1"/>
    <w:rsid w:val="00584A81"/>
    <w:rsid w:val="005D3A4B"/>
    <w:rsid w:val="005D662A"/>
    <w:rsid w:val="00623CAD"/>
    <w:rsid w:val="0065585C"/>
    <w:rsid w:val="006B1C99"/>
    <w:rsid w:val="00701AB5"/>
    <w:rsid w:val="007C54B8"/>
    <w:rsid w:val="007C7B1C"/>
    <w:rsid w:val="00811F0A"/>
    <w:rsid w:val="00855ABD"/>
    <w:rsid w:val="00855E97"/>
    <w:rsid w:val="00997774"/>
    <w:rsid w:val="009D7A76"/>
    <w:rsid w:val="009E6E45"/>
    <w:rsid w:val="00A037E8"/>
    <w:rsid w:val="00A408EF"/>
    <w:rsid w:val="00A5745E"/>
    <w:rsid w:val="00B41B86"/>
    <w:rsid w:val="00BE0C82"/>
    <w:rsid w:val="00BE5362"/>
    <w:rsid w:val="00C10C1D"/>
    <w:rsid w:val="00C36575"/>
    <w:rsid w:val="00CC530C"/>
    <w:rsid w:val="00CE056E"/>
    <w:rsid w:val="00D6027B"/>
    <w:rsid w:val="00DC6BC3"/>
    <w:rsid w:val="00E13B1E"/>
    <w:rsid w:val="00E23021"/>
    <w:rsid w:val="00E32F4E"/>
    <w:rsid w:val="00E33F03"/>
    <w:rsid w:val="00E63935"/>
    <w:rsid w:val="00EB7BBF"/>
    <w:rsid w:val="00EE56A5"/>
    <w:rsid w:val="00F12529"/>
    <w:rsid w:val="00F36F67"/>
    <w:rsid w:val="00FC6323"/>
    <w:rsid w:val="00FD5A88"/>
    <w:rsid w:val="00FE09F4"/>
    <w:rsid w:val="036674C9"/>
    <w:rsid w:val="0F2D69A1"/>
    <w:rsid w:val="11930964"/>
    <w:rsid w:val="15F82D71"/>
    <w:rsid w:val="17FE5E7C"/>
    <w:rsid w:val="22862631"/>
    <w:rsid w:val="3C7F6B1C"/>
    <w:rsid w:val="3D693D24"/>
    <w:rsid w:val="431329AC"/>
    <w:rsid w:val="47241DC7"/>
    <w:rsid w:val="66FA5A00"/>
    <w:rsid w:val="6BA30E2B"/>
    <w:rsid w:val="6C545092"/>
    <w:rsid w:val="6F9C6E4E"/>
    <w:rsid w:val="791A2089"/>
    <w:rsid w:val="79B868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1933</Words>
  <Characters>2026</Characters>
  <Lines>102</Lines>
  <Paragraphs>57</Paragraphs>
  <TotalTime>15</TotalTime>
  <ScaleCrop>false</ScaleCrop>
  <LinksUpToDate>false</LinksUpToDate>
  <CharactersWithSpaces>2052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2026-08-12T08:04:00Z</dcterms:created>
  <dc:creator>小琪</dc:creator>
  <cp:lastModifiedBy>凉儿</cp:lastModifiedBy>
  <cp:lastPrinted>2026-08-12T08:06:00Z</cp:lastPrinted>
  <dcterms:modified xsi:type="dcterms:W3CDTF">2026-08-19T07:59:25Z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233159C9DC584297B5028C8BAAD6383E_13</vt:lpwstr>
  </property>
  <property fmtid="{D5CDD505-2E9C-101B-9397-08002B2CF9AE}" pid="4" name="KSOTemplateDocerSaveRecord">
    <vt:lpwstr>eyJoZGlkIjoiYWJlOTY1NjI1YzFlZWY2MWY2OTY5NmUwMjkxOTFlNzkiLCJ1c2VySWQiOiIzMDU5NTkyNjYifQ==</vt:lpwstr>
  </property>
</Properties>
</file>